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905A9" w14:textId="464468AC" w:rsidR="003900DF" w:rsidRDefault="003900DF" w:rsidP="003900DF">
      <w:pPr>
        <w:shd w:val="clear" w:color="auto" w:fill="FFFFFF"/>
        <w:spacing w:before="150" w:after="0" w:line="375" w:lineRule="atLeast"/>
        <w:jc w:val="both"/>
        <w:outlineLvl w:val="0"/>
        <w:rPr>
          <w:rFonts w:ascii="Nunito Sans" w:eastAsia="Times New Roman" w:hAnsi="Nunito Sans" w:cs="Times New Roman"/>
          <w:b/>
          <w:bCs/>
          <w:color w:val="C6262F"/>
          <w:kern w:val="36"/>
          <w:sz w:val="38"/>
          <w:szCs w:val="38"/>
          <w:lang w:eastAsia="es-ES"/>
          <w14:ligatures w14:val="none"/>
        </w:rPr>
      </w:pPr>
      <w:r>
        <w:rPr>
          <w:rFonts w:ascii="Nunito Sans" w:eastAsia="Times New Roman" w:hAnsi="Nunito Sans" w:cs="Times New Roman"/>
          <w:b/>
          <w:bCs/>
          <w:color w:val="C6262F"/>
          <w:kern w:val="36"/>
          <w:sz w:val="38"/>
          <w:szCs w:val="38"/>
          <w:lang w:eastAsia="es-ES"/>
          <w14:ligatures w14:val="none"/>
        </w:rPr>
        <w:t>Real Decreto-Ley 6/2024, de 5 de noviembre, por el que se adoptan medidas urgentes de respuesta ante los daños causados por la Depresión Aislada en Niveles Altos (DANA) en diferentes municipios entre el 28 de octubre y el 4 de noviembre de 2024.</w:t>
      </w:r>
    </w:p>
    <w:p w14:paraId="3A5F9B5E" w14:textId="77777777" w:rsidR="003900DF" w:rsidRDefault="003900DF" w:rsidP="003900DF">
      <w:pPr>
        <w:shd w:val="clear" w:color="auto" w:fill="FFFFFF"/>
        <w:spacing w:before="150" w:after="0" w:line="375" w:lineRule="atLeast"/>
        <w:outlineLvl w:val="0"/>
        <w:rPr>
          <w:rFonts w:ascii="Nunito Sans" w:eastAsia="Times New Roman" w:hAnsi="Nunito Sans" w:cs="Times New Roman"/>
          <w:b/>
          <w:bCs/>
          <w:color w:val="C6262F"/>
          <w:kern w:val="36"/>
          <w:sz w:val="38"/>
          <w:szCs w:val="38"/>
          <w:lang w:eastAsia="es-ES"/>
          <w14:ligatures w14:val="none"/>
        </w:rPr>
      </w:pPr>
    </w:p>
    <w:p w14:paraId="732DFCB4" w14:textId="77777777" w:rsidR="003900DF" w:rsidRPr="003900DF" w:rsidRDefault="003900DF" w:rsidP="003900DF">
      <w:pPr>
        <w:shd w:val="clear" w:color="auto" w:fill="FFFFFF"/>
        <w:spacing w:before="150" w:after="0" w:line="375" w:lineRule="atLeast"/>
        <w:jc w:val="center"/>
        <w:outlineLvl w:val="0"/>
        <w:rPr>
          <w:rFonts w:ascii="Nunito Sans" w:eastAsia="Times New Roman" w:hAnsi="Nunito Sans" w:cs="Times New Roman"/>
          <w:b/>
          <w:bCs/>
          <w:color w:val="004E9A"/>
          <w:kern w:val="36"/>
          <w:sz w:val="38"/>
          <w:szCs w:val="38"/>
          <w:lang w:eastAsia="es-ES"/>
          <w14:ligatures w14:val="none"/>
        </w:rPr>
      </w:pPr>
      <w:r w:rsidRPr="003900DF">
        <w:rPr>
          <w:rFonts w:ascii="Nunito Sans" w:eastAsia="Times New Roman" w:hAnsi="Nunito Sans" w:cs="Times New Roman"/>
          <w:b/>
          <w:bCs/>
          <w:color w:val="004E9A"/>
          <w:kern w:val="36"/>
          <w:sz w:val="38"/>
          <w:szCs w:val="38"/>
          <w:lang w:eastAsia="es-ES"/>
          <w14:ligatures w14:val="none"/>
        </w:rPr>
        <w:t>Medidas Fiscales (Capitulo III)</w:t>
      </w:r>
    </w:p>
    <w:p w14:paraId="2BA130B0" w14:textId="77777777" w:rsidR="001B6588" w:rsidRDefault="001B6588" w:rsidP="003900DF">
      <w:pPr>
        <w:shd w:val="clear" w:color="auto" w:fill="FFFFFF"/>
        <w:spacing w:after="225" w:line="324" w:lineRule="atLeast"/>
        <w:rPr>
          <w:rFonts w:ascii="Barlow" w:eastAsia="Times New Roman" w:hAnsi="Barlow" w:cs="Times New Roman"/>
          <w:color w:val="000000"/>
          <w:kern w:val="0"/>
          <w:sz w:val="27"/>
          <w:szCs w:val="27"/>
          <w:lang w:eastAsia="es-ES"/>
          <w14:ligatures w14:val="none"/>
        </w:rPr>
      </w:pPr>
    </w:p>
    <w:p w14:paraId="027DE530" w14:textId="545C3941" w:rsidR="003900DF" w:rsidRPr="00A56883" w:rsidRDefault="001B6588" w:rsidP="001B6588">
      <w:pPr>
        <w:shd w:val="clear" w:color="auto" w:fill="FFFFFF"/>
        <w:spacing w:after="225" w:line="324" w:lineRule="atLeast"/>
        <w:jc w:val="both"/>
        <w:rPr>
          <w:rFonts w:ascii="Barlow" w:eastAsia="Times New Roman" w:hAnsi="Barlow" w:cs="Times New Roman"/>
          <w:color w:val="004E9A"/>
          <w:kern w:val="0"/>
          <w:sz w:val="27"/>
          <w:szCs w:val="27"/>
          <w:lang w:eastAsia="es-ES"/>
          <w14:ligatures w14:val="none"/>
        </w:rPr>
      </w:pPr>
      <w:r>
        <w:rPr>
          <w:rFonts w:ascii="Barlow" w:eastAsia="Times New Roman" w:hAnsi="Barlow" w:cs="Times New Roman"/>
          <w:b/>
          <w:bCs/>
          <w:color w:val="004E9A"/>
          <w:kern w:val="0"/>
          <w:sz w:val="27"/>
          <w:szCs w:val="27"/>
          <w:lang w:eastAsia="es-ES"/>
          <w14:ligatures w14:val="none"/>
        </w:rPr>
        <w:t xml:space="preserve">1.- </w:t>
      </w:r>
      <w:r w:rsidR="003900DF" w:rsidRPr="00A56883">
        <w:rPr>
          <w:rFonts w:ascii="Barlow" w:eastAsia="Times New Roman" w:hAnsi="Barlow" w:cs="Times New Roman"/>
          <w:b/>
          <w:bCs/>
          <w:color w:val="004E9A"/>
          <w:kern w:val="0"/>
          <w:sz w:val="27"/>
          <w:szCs w:val="27"/>
          <w:lang w:eastAsia="es-ES"/>
          <w14:ligatures w14:val="none"/>
        </w:rPr>
        <w:t>Suspensión</w:t>
      </w:r>
      <w:r w:rsidR="000D3297">
        <w:rPr>
          <w:rFonts w:ascii="Barlow" w:eastAsia="Times New Roman" w:hAnsi="Barlow" w:cs="Times New Roman"/>
          <w:b/>
          <w:bCs/>
          <w:color w:val="004E9A"/>
          <w:kern w:val="0"/>
          <w:sz w:val="27"/>
          <w:szCs w:val="27"/>
          <w:lang w:eastAsia="es-ES"/>
          <w14:ligatures w14:val="none"/>
        </w:rPr>
        <w:t xml:space="preserve">, aplazamientos </w:t>
      </w:r>
      <w:r w:rsidR="003900DF" w:rsidRPr="00A56883">
        <w:rPr>
          <w:rFonts w:ascii="Barlow" w:eastAsia="Times New Roman" w:hAnsi="Barlow" w:cs="Times New Roman"/>
          <w:b/>
          <w:bCs/>
          <w:color w:val="004E9A"/>
          <w:kern w:val="0"/>
          <w:sz w:val="27"/>
          <w:szCs w:val="27"/>
          <w:lang w:eastAsia="es-ES"/>
          <w14:ligatures w14:val="none"/>
        </w:rPr>
        <w:t xml:space="preserve">y </w:t>
      </w:r>
      <w:r w:rsidR="000D3297">
        <w:rPr>
          <w:rFonts w:ascii="Barlow" w:eastAsia="Times New Roman" w:hAnsi="Barlow" w:cs="Times New Roman"/>
          <w:b/>
          <w:bCs/>
          <w:color w:val="004E9A"/>
          <w:kern w:val="0"/>
          <w:sz w:val="27"/>
          <w:szCs w:val="27"/>
          <w:lang w:eastAsia="es-ES"/>
          <w14:ligatures w14:val="none"/>
        </w:rPr>
        <w:t>f</w:t>
      </w:r>
      <w:r w:rsidR="003900DF" w:rsidRPr="00A56883">
        <w:rPr>
          <w:rFonts w:ascii="Barlow" w:eastAsia="Times New Roman" w:hAnsi="Barlow" w:cs="Times New Roman"/>
          <w:b/>
          <w:bCs/>
          <w:color w:val="004E9A"/>
          <w:kern w:val="0"/>
          <w:sz w:val="27"/>
          <w:szCs w:val="27"/>
          <w:lang w:eastAsia="es-ES"/>
          <w14:ligatures w14:val="none"/>
        </w:rPr>
        <w:t>lexibilización de los plazos tributarios</w:t>
      </w:r>
      <w:r w:rsidR="000D3297">
        <w:rPr>
          <w:rFonts w:ascii="Barlow" w:eastAsia="Times New Roman" w:hAnsi="Barlow" w:cs="Times New Roman"/>
          <w:b/>
          <w:bCs/>
          <w:color w:val="004E9A"/>
          <w:kern w:val="0"/>
          <w:sz w:val="27"/>
          <w:szCs w:val="27"/>
          <w:lang w:eastAsia="es-ES"/>
          <w14:ligatures w14:val="none"/>
        </w:rPr>
        <w:t xml:space="preserve"> </w:t>
      </w:r>
      <w:r w:rsidR="003900DF" w:rsidRPr="00A56883">
        <w:rPr>
          <w:rFonts w:ascii="Barlow" w:eastAsia="Times New Roman" w:hAnsi="Barlow" w:cs="Times New Roman"/>
          <w:b/>
          <w:bCs/>
          <w:color w:val="004E9A"/>
          <w:kern w:val="0"/>
          <w:sz w:val="27"/>
          <w:szCs w:val="27"/>
          <w:lang w:eastAsia="es-ES"/>
          <w14:ligatures w14:val="none"/>
        </w:rPr>
        <w:t>en el ámbito de la A</w:t>
      </w:r>
      <w:r w:rsidR="000D3297">
        <w:rPr>
          <w:rFonts w:ascii="Barlow" w:eastAsia="Times New Roman" w:hAnsi="Barlow" w:cs="Times New Roman"/>
          <w:b/>
          <w:bCs/>
          <w:color w:val="004E9A"/>
          <w:kern w:val="0"/>
          <w:sz w:val="27"/>
          <w:szCs w:val="27"/>
          <w:lang w:eastAsia="es-ES"/>
          <w14:ligatures w14:val="none"/>
        </w:rPr>
        <w:t>gencia Estatal de Administración Tributaria</w:t>
      </w:r>
      <w:r w:rsidR="002E0587">
        <w:rPr>
          <w:rFonts w:ascii="Barlow" w:eastAsia="Times New Roman" w:hAnsi="Barlow" w:cs="Times New Roman"/>
          <w:b/>
          <w:bCs/>
          <w:color w:val="004E9A"/>
          <w:kern w:val="0"/>
          <w:sz w:val="27"/>
          <w:szCs w:val="27"/>
          <w:lang w:eastAsia="es-ES"/>
          <w14:ligatures w14:val="none"/>
        </w:rPr>
        <w:t xml:space="preserve"> y los Tribunales económico-administrativos</w:t>
      </w:r>
      <w:r w:rsidR="000D3297">
        <w:rPr>
          <w:rFonts w:ascii="Barlow" w:eastAsia="Times New Roman" w:hAnsi="Barlow" w:cs="Times New Roman"/>
          <w:b/>
          <w:bCs/>
          <w:color w:val="004E9A"/>
          <w:kern w:val="0"/>
          <w:sz w:val="27"/>
          <w:szCs w:val="27"/>
          <w:lang w:eastAsia="es-ES"/>
          <w14:ligatures w14:val="none"/>
        </w:rPr>
        <w:t xml:space="preserve"> (</w:t>
      </w:r>
      <w:r>
        <w:rPr>
          <w:rFonts w:ascii="Barlow" w:eastAsia="Times New Roman" w:hAnsi="Barlow" w:cs="Times New Roman"/>
          <w:b/>
          <w:bCs/>
          <w:color w:val="004E9A"/>
          <w:kern w:val="0"/>
          <w:sz w:val="27"/>
          <w:szCs w:val="27"/>
          <w:lang w:eastAsia="es-ES"/>
          <w14:ligatures w14:val="none"/>
        </w:rPr>
        <w:t>Artículo 8</w:t>
      </w:r>
      <w:r w:rsidR="000D3297">
        <w:rPr>
          <w:rFonts w:ascii="Barlow" w:eastAsia="Times New Roman" w:hAnsi="Barlow" w:cs="Times New Roman"/>
          <w:b/>
          <w:bCs/>
          <w:color w:val="004E9A"/>
          <w:kern w:val="0"/>
          <w:sz w:val="27"/>
          <w:szCs w:val="27"/>
          <w:lang w:eastAsia="es-ES"/>
          <w14:ligatures w14:val="none"/>
        </w:rPr>
        <w:t>)</w:t>
      </w:r>
      <w:r>
        <w:rPr>
          <w:rFonts w:ascii="Barlow" w:eastAsia="Times New Roman" w:hAnsi="Barlow" w:cs="Times New Roman"/>
          <w:b/>
          <w:bCs/>
          <w:color w:val="004E9A"/>
          <w:kern w:val="0"/>
          <w:sz w:val="27"/>
          <w:szCs w:val="27"/>
          <w:lang w:eastAsia="es-ES"/>
          <w14:ligatures w14:val="none"/>
        </w:rPr>
        <w:t xml:space="preserve">. </w:t>
      </w:r>
    </w:p>
    <w:p w14:paraId="383FCC0C" w14:textId="1AF7D56E" w:rsidR="00E7002C" w:rsidRDefault="000004E2" w:rsidP="008C3121">
      <w:p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Para los obligados tributarios cuyo volumen de operaciones en 2023 no haya superado los 6.010.121,04 euros y que a </w:t>
      </w:r>
      <w:r w:rsidR="006F5733" w:rsidRPr="006F5733">
        <w:rPr>
          <w:rFonts w:ascii="Barlow" w:eastAsia="Times New Roman" w:hAnsi="Barlow" w:cs="Times New Roman"/>
          <w:color w:val="FF0000"/>
          <w:kern w:val="0"/>
          <w:sz w:val="27"/>
          <w:szCs w:val="27"/>
          <w:lang w:eastAsia="es-ES"/>
          <w14:ligatures w14:val="none"/>
        </w:rPr>
        <w:t>28</w:t>
      </w:r>
      <w:r>
        <w:rPr>
          <w:rFonts w:ascii="Barlow" w:eastAsia="Times New Roman" w:hAnsi="Barlow" w:cs="Times New Roman"/>
          <w:color w:val="000000"/>
          <w:kern w:val="0"/>
          <w:sz w:val="27"/>
          <w:szCs w:val="27"/>
          <w:lang w:eastAsia="es-ES"/>
          <w14:ligatures w14:val="none"/>
        </w:rPr>
        <w:t xml:space="preserve"> de octubre de 2024 tuvieran </w:t>
      </w:r>
      <w:r w:rsidR="00125CB1">
        <w:rPr>
          <w:rFonts w:ascii="Barlow" w:eastAsia="Times New Roman" w:hAnsi="Barlow" w:cs="Times New Roman"/>
          <w:color w:val="000000"/>
          <w:kern w:val="0"/>
          <w:sz w:val="27"/>
          <w:szCs w:val="27"/>
          <w:lang w:eastAsia="es-ES"/>
          <w14:ligatures w14:val="none"/>
        </w:rPr>
        <w:t xml:space="preserve">bien </w:t>
      </w:r>
      <w:r>
        <w:rPr>
          <w:rFonts w:ascii="Barlow" w:eastAsia="Times New Roman" w:hAnsi="Barlow" w:cs="Times New Roman"/>
          <w:color w:val="000000"/>
          <w:kern w:val="0"/>
          <w:sz w:val="27"/>
          <w:szCs w:val="27"/>
          <w:lang w:eastAsia="es-ES"/>
          <w14:ligatures w14:val="none"/>
        </w:rPr>
        <w:t>su domicilio fiscal, bien su establecimiento de explotación o inmuebles afectos a la actividad en cualquiera de los municipios afectados gravemente afectados por esta emergencia (Anexo),</w:t>
      </w:r>
      <w:r w:rsidR="00E7002C">
        <w:rPr>
          <w:rFonts w:ascii="Barlow" w:eastAsia="Times New Roman" w:hAnsi="Barlow" w:cs="Times New Roman"/>
          <w:color w:val="000000"/>
          <w:kern w:val="0"/>
          <w:sz w:val="27"/>
          <w:szCs w:val="27"/>
          <w:lang w:eastAsia="es-ES"/>
          <w14:ligatures w14:val="none"/>
        </w:rPr>
        <w:t xml:space="preserve"> se han aprobado las siguientes medidas:</w:t>
      </w:r>
    </w:p>
    <w:p w14:paraId="3E4A2A10" w14:textId="54244121" w:rsidR="000004E2" w:rsidRDefault="00E7002C" w:rsidP="00E7002C">
      <w:pPr>
        <w:pStyle w:val="Prrafodelista"/>
        <w:numPr>
          <w:ilvl w:val="0"/>
          <w:numId w:val="1"/>
        </w:numPr>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r w:rsidRPr="00E7002C">
        <w:rPr>
          <w:rFonts w:ascii="Barlow" w:eastAsia="Times New Roman" w:hAnsi="Barlow" w:cs="Times New Roman"/>
          <w:b/>
          <w:bCs/>
          <w:color w:val="000000"/>
          <w:kern w:val="0"/>
          <w:sz w:val="27"/>
          <w:szCs w:val="27"/>
          <w:lang w:eastAsia="es-ES"/>
          <w14:ligatures w14:val="none"/>
        </w:rPr>
        <w:t>L</w:t>
      </w:r>
      <w:r w:rsidR="000004E2" w:rsidRPr="00E7002C">
        <w:rPr>
          <w:rFonts w:ascii="Barlow" w:eastAsia="Times New Roman" w:hAnsi="Barlow" w:cs="Times New Roman"/>
          <w:b/>
          <w:bCs/>
          <w:color w:val="000000"/>
          <w:kern w:val="0"/>
          <w:sz w:val="27"/>
          <w:szCs w:val="27"/>
          <w:lang w:eastAsia="es-ES"/>
          <w14:ligatures w14:val="none"/>
        </w:rPr>
        <w:t>os plazos de presentación e ingreso de las declaraciones y autoliquidaciones tributarias cuyo vencimiento se encuentre entre el 28 de octubre y el 31 de diciembre de 2024, se extenderán hasta el 30 de enero de 2025</w:t>
      </w:r>
      <w:r w:rsidR="00125CB1" w:rsidRPr="00E7002C">
        <w:rPr>
          <w:rFonts w:ascii="Barlow" w:eastAsia="Times New Roman" w:hAnsi="Barlow" w:cs="Times New Roman"/>
          <w:b/>
          <w:bCs/>
          <w:color w:val="000000"/>
          <w:kern w:val="0"/>
          <w:sz w:val="27"/>
          <w:szCs w:val="27"/>
          <w:lang w:eastAsia="es-ES"/>
          <w14:ligatures w14:val="none"/>
        </w:rPr>
        <w:t>.</w:t>
      </w:r>
    </w:p>
    <w:p w14:paraId="35BF7CE7" w14:textId="77777777" w:rsidR="002C72CE" w:rsidRDefault="002C72CE" w:rsidP="002C72CE">
      <w:pPr>
        <w:pStyle w:val="Prrafodelista"/>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p>
    <w:p w14:paraId="3AA2AADE" w14:textId="571AA138" w:rsidR="00126462" w:rsidRPr="00126462" w:rsidRDefault="00126462" w:rsidP="00126462">
      <w:pPr>
        <w:pStyle w:val="Prrafodelista"/>
        <w:numPr>
          <w:ilvl w:val="0"/>
          <w:numId w:val="1"/>
        </w:numPr>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r w:rsidRPr="002C72CE">
        <w:rPr>
          <w:rFonts w:ascii="Barlow" w:eastAsia="Times New Roman" w:hAnsi="Barlow" w:cs="Times New Roman"/>
          <w:b/>
          <w:bCs/>
          <w:color w:val="000000"/>
          <w:kern w:val="0"/>
          <w:sz w:val="27"/>
          <w:szCs w:val="27"/>
          <w:lang w:eastAsia="es-ES"/>
          <w14:ligatures w14:val="none"/>
        </w:rPr>
        <w:t xml:space="preserve">Los </w:t>
      </w:r>
      <w:r w:rsidR="002C72CE" w:rsidRPr="002C72CE">
        <w:rPr>
          <w:rFonts w:ascii="Barlow" w:eastAsia="Times New Roman" w:hAnsi="Barlow" w:cs="Times New Roman"/>
          <w:b/>
          <w:bCs/>
          <w:color w:val="000000"/>
          <w:kern w:val="0"/>
          <w:sz w:val="27"/>
          <w:szCs w:val="27"/>
          <w:lang w:eastAsia="es-ES"/>
          <w14:ligatures w14:val="none"/>
        </w:rPr>
        <w:t>S</w:t>
      </w:r>
      <w:r w:rsidRPr="002C72CE">
        <w:rPr>
          <w:rFonts w:ascii="Barlow" w:eastAsia="Times New Roman" w:hAnsi="Barlow" w:cs="Times New Roman"/>
          <w:b/>
          <w:bCs/>
          <w:color w:val="000000"/>
          <w:kern w:val="0"/>
          <w:sz w:val="27"/>
          <w:szCs w:val="27"/>
          <w:lang w:eastAsia="es-ES"/>
          <w14:ligatures w14:val="none"/>
        </w:rPr>
        <w:t>ujetos</w:t>
      </w:r>
      <w:r w:rsidR="002C72CE" w:rsidRPr="002C72CE">
        <w:rPr>
          <w:rFonts w:ascii="Barlow" w:eastAsia="Times New Roman" w:hAnsi="Barlow" w:cs="Times New Roman"/>
          <w:b/>
          <w:bCs/>
          <w:color w:val="000000"/>
          <w:kern w:val="0"/>
          <w:sz w:val="27"/>
          <w:szCs w:val="27"/>
          <w:lang w:eastAsia="es-ES"/>
          <w14:ligatures w14:val="none"/>
        </w:rPr>
        <w:t xml:space="preserve"> pasivos de IVA que tengan periodo de liquidación que coincida con el mes natural</w:t>
      </w:r>
      <w:r w:rsidR="002C72CE" w:rsidRPr="002C72CE">
        <w:rPr>
          <w:rFonts w:ascii="Barlow" w:eastAsia="Times New Roman" w:hAnsi="Barlow" w:cs="Times New Roman"/>
          <w:color w:val="000000"/>
          <w:kern w:val="0"/>
          <w:sz w:val="27"/>
          <w:szCs w:val="27"/>
          <w:lang w:eastAsia="es-ES"/>
          <w14:ligatures w14:val="none"/>
        </w:rPr>
        <w:t>,</w:t>
      </w:r>
      <w:r w:rsidR="002C72CE">
        <w:rPr>
          <w:rFonts w:ascii="Barlow" w:eastAsia="Times New Roman" w:hAnsi="Barlow" w:cs="Times New Roman"/>
          <w:b/>
          <w:bCs/>
          <w:color w:val="000000"/>
          <w:kern w:val="0"/>
          <w:sz w:val="27"/>
          <w:szCs w:val="27"/>
          <w:lang w:eastAsia="es-ES"/>
          <w14:ligatures w14:val="none"/>
        </w:rPr>
        <w:t xml:space="preserve"> para la remisión electrónica de los registros de facturación del mes de noviembre, se amplia el plazo hasta el 16 de diciembre de 2024</w:t>
      </w:r>
      <w:r>
        <w:rPr>
          <w:rFonts w:ascii="Barlow" w:eastAsia="Times New Roman" w:hAnsi="Barlow" w:cs="Times New Roman"/>
          <w:b/>
          <w:bCs/>
          <w:color w:val="000000"/>
          <w:kern w:val="0"/>
          <w:sz w:val="27"/>
          <w:szCs w:val="27"/>
          <w:lang w:eastAsia="es-ES"/>
          <w14:ligatures w14:val="none"/>
        </w:rPr>
        <w:t xml:space="preserve"> </w:t>
      </w:r>
    </w:p>
    <w:p w14:paraId="145A85BF" w14:textId="77777777" w:rsidR="00E7002C" w:rsidRPr="00E7002C" w:rsidRDefault="00E7002C" w:rsidP="00E7002C">
      <w:pPr>
        <w:pStyle w:val="Prrafodelista"/>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p>
    <w:p w14:paraId="74EFED2A" w14:textId="371FCF23" w:rsidR="00125CB1" w:rsidRDefault="00125CB1" w:rsidP="00E7002C">
      <w:pPr>
        <w:pStyle w:val="Prrafodelista"/>
        <w:numPr>
          <w:ilvl w:val="0"/>
          <w:numId w:val="1"/>
        </w:numPr>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r w:rsidRPr="00E7002C">
        <w:rPr>
          <w:rFonts w:ascii="Barlow" w:eastAsia="Times New Roman" w:hAnsi="Barlow" w:cs="Times New Roman"/>
          <w:b/>
          <w:bCs/>
          <w:color w:val="000000"/>
          <w:kern w:val="0"/>
          <w:sz w:val="27"/>
          <w:szCs w:val="27"/>
          <w:lang w:eastAsia="es-ES"/>
          <w14:ligatures w14:val="none"/>
        </w:rPr>
        <w:t xml:space="preserve">También se extenderán hasta </w:t>
      </w:r>
      <w:r w:rsidR="000D3297" w:rsidRPr="00E7002C">
        <w:rPr>
          <w:rFonts w:ascii="Barlow" w:eastAsia="Times New Roman" w:hAnsi="Barlow" w:cs="Times New Roman"/>
          <w:b/>
          <w:bCs/>
          <w:color w:val="000000"/>
          <w:kern w:val="0"/>
          <w:sz w:val="27"/>
          <w:szCs w:val="27"/>
          <w:lang w:eastAsia="es-ES"/>
          <w14:ligatures w14:val="none"/>
        </w:rPr>
        <w:t>el 30 de enero 2025</w:t>
      </w:r>
      <w:r w:rsidRPr="00E7002C">
        <w:rPr>
          <w:rFonts w:ascii="Barlow" w:eastAsia="Times New Roman" w:hAnsi="Barlow" w:cs="Times New Roman"/>
          <w:color w:val="000000"/>
          <w:kern w:val="0"/>
          <w:sz w:val="27"/>
          <w:szCs w:val="27"/>
          <w:lang w:eastAsia="es-ES"/>
          <w14:ligatures w14:val="none"/>
        </w:rPr>
        <w:t xml:space="preserve"> (salvo que el plazo otorgado de la norma general sea mayor), </w:t>
      </w:r>
      <w:r w:rsidRPr="00E7002C">
        <w:rPr>
          <w:rFonts w:ascii="Barlow" w:eastAsia="Times New Roman" w:hAnsi="Barlow" w:cs="Times New Roman"/>
          <w:b/>
          <w:bCs/>
          <w:color w:val="000000"/>
          <w:kern w:val="0"/>
          <w:sz w:val="27"/>
          <w:szCs w:val="27"/>
          <w:lang w:eastAsia="es-ES"/>
          <w14:ligatures w14:val="none"/>
        </w:rPr>
        <w:t>los plazos para atender requerimientos</w:t>
      </w:r>
      <w:r w:rsidRPr="00E7002C">
        <w:rPr>
          <w:rFonts w:ascii="Barlow" w:eastAsia="Times New Roman" w:hAnsi="Barlow" w:cs="Times New Roman"/>
          <w:color w:val="000000"/>
          <w:kern w:val="0"/>
          <w:sz w:val="27"/>
          <w:szCs w:val="27"/>
          <w:lang w:eastAsia="es-ES"/>
          <w14:ligatures w14:val="none"/>
        </w:rPr>
        <w:t xml:space="preserve">, </w:t>
      </w:r>
      <w:r w:rsidRPr="00E7002C">
        <w:rPr>
          <w:rFonts w:ascii="Barlow" w:eastAsia="Times New Roman" w:hAnsi="Barlow" w:cs="Times New Roman"/>
          <w:b/>
          <w:bCs/>
          <w:color w:val="000000"/>
          <w:kern w:val="0"/>
          <w:sz w:val="27"/>
          <w:szCs w:val="27"/>
          <w:lang w:eastAsia="es-ES"/>
          <w14:ligatures w14:val="none"/>
        </w:rPr>
        <w:t>diligencias de embargo</w:t>
      </w:r>
      <w:r w:rsidRPr="00E7002C">
        <w:rPr>
          <w:rFonts w:ascii="Barlow" w:eastAsia="Times New Roman" w:hAnsi="Barlow" w:cs="Times New Roman"/>
          <w:color w:val="000000"/>
          <w:kern w:val="0"/>
          <w:sz w:val="27"/>
          <w:szCs w:val="27"/>
          <w:lang w:eastAsia="es-ES"/>
          <w14:ligatures w14:val="none"/>
        </w:rPr>
        <w:t xml:space="preserve"> y solicitudes de información con trascendencia tributaria, para </w:t>
      </w:r>
      <w:r w:rsidRPr="00E7002C">
        <w:rPr>
          <w:rFonts w:ascii="Barlow" w:eastAsia="Times New Roman" w:hAnsi="Barlow" w:cs="Times New Roman"/>
          <w:b/>
          <w:bCs/>
          <w:color w:val="000000"/>
          <w:kern w:val="0"/>
          <w:sz w:val="27"/>
          <w:szCs w:val="27"/>
          <w:lang w:eastAsia="es-ES"/>
          <w14:ligatures w14:val="none"/>
        </w:rPr>
        <w:t>formular alegaciones</w:t>
      </w:r>
      <w:r w:rsidRPr="00E7002C">
        <w:rPr>
          <w:rFonts w:ascii="Barlow" w:eastAsia="Times New Roman" w:hAnsi="Barlow" w:cs="Times New Roman"/>
          <w:color w:val="000000"/>
          <w:kern w:val="0"/>
          <w:sz w:val="27"/>
          <w:szCs w:val="27"/>
          <w:lang w:eastAsia="es-ES"/>
          <w14:ligatures w14:val="none"/>
        </w:rPr>
        <w:t xml:space="preserve"> ante actos de apertura de dicho trámite o de audiencia, dictados en procedimientos de aplicación de los tributos, </w:t>
      </w:r>
      <w:r w:rsidRPr="00E7002C">
        <w:rPr>
          <w:rFonts w:ascii="Barlow" w:eastAsia="Times New Roman" w:hAnsi="Barlow" w:cs="Times New Roman"/>
          <w:color w:val="000000"/>
          <w:kern w:val="0"/>
          <w:sz w:val="27"/>
          <w:szCs w:val="27"/>
          <w:lang w:eastAsia="es-ES"/>
          <w14:ligatures w14:val="none"/>
        </w:rPr>
        <w:lastRenderedPageBreak/>
        <w:t xml:space="preserve">sancionadores o de declaración de nulidad, devolución de ingresos indebidos, rectificación de errores materiales y de revocación y demás procedimientos de revisión, </w:t>
      </w:r>
      <w:r w:rsidRPr="00E7002C">
        <w:rPr>
          <w:rFonts w:ascii="Barlow" w:eastAsia="Times New Roman" w:hAnsi="Barlow" w:cs="Times New Roman"/>
          <w:b/>
          <w:bCs/>
          <w:color w:val="000000"/>
          <w:kern w:val="0"/>
          <w:sz w:val="27"/>
          <w:szCs w:val="27"/>
          <w:lang w:eastAsia="es-ES"/>
          <w14:ligatures w14:val="none"/>
        </w:rPr>
        <w:t xml:space="preserve">que no hayan concluido el 28 de octubre de 2024. </w:t>
      </w:r>
    </w:p>
    <w:p w14:paraId="3937394C" w14:textId="77777777" w:rsidR="00E7002C" w:rsidRPr="00E7002C" w:rsidRDefault="00E7002C" w:rsidP="00E7002C">
      <w:pPr>
        <w:pStyle w:val="Prrafodelista"/>
        <w:rPr>
          <w:rFonts w:ascii="Barlow" w:eastAsia="Times New Roman" w:hAnsi="Barlow" w:cs="Times New Roman"/>
          <w:b/>
          <w:bCs/>
          <w:color w:val="000000"/>
          <w:kern w:val="0"/>
          <w:sz w:val="27"/>
          <w:szCs w:val="27"/>
          <w:lang w:eastAsia="es-ES"/>
          <w14:ligatures w14:val="none"/>
        </w:rPr>
      </w:pPr>
    </w:p>
    <w:p w14:paraId="262A20C0" w14:textId="76AAC02C" w:rsidR="00E7002C" w:rsidRDefault="002C72CE" w:rsidP="00E7002C">
      <w:pPr>
        <w:pStyle w:val="Prrafodelista"/>
        <w:numPr>
          <w:ilvl w:val="0"/>
          <w:numId w:val="1"/>
        </w:numPr>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Así mismo, p</w:t>
      </w:r>
      <w:r w:rsidR="00E7002C">
        <w:rPr>
          <w:rFonts w:ascii="Barlow" w:eastAsia="Times New Roman" w:hAnsi="Barlow" w:cs="Times New Roman"/>
          <w:color w:val="000000"/>
          <w:kern w:val="0"/>
          <w:sz w:val="27"/>
          <w:szCs w:val="27"/>
          <w:lang w:eastAsia="es-ES"/>
          <w14:ligatures w14:val="none"/>
        </w:rPr>
        <w:t xml:space="preserve">odrán solicitar el </w:t>
      </w:r>
      <w:r w:rsidR="00E7002C">
        <w:rPr>
          <w:rFonts w:ascii="Barlow" w:eastAsia="Times New Roman" w:hAnsi="Barlow" w:cs="Times New Roman"/>
          <w:b/>
          <w:bCs/>
          <w:color w:val="000000"/>
          <w:kern w:val="0"/>
          <w:sz w:val="27"/>
          <w:szCs w:val="27"/>
          <w:lang w:eastAsia="es-ES"/>
          <w14:ligatures w14:val="none"/>
        </w:rPr>
        <w:t xml:space="preserve">aplazamiento del ingreso de las deudas tributarias correspondientes a todas aquellas declaraciones, liquidaciones y autoliquidaciones cuyo plazo de presentación e ingreso finalice desde el 28 de octubre de 2024 hasta el día 30 de enero de 2025, </w:t>
      </w:r>
      <w:r w:rsidR="00E7002C" w:rsidRPr="00E7002C">
        <w:rPr>
          <w:rFonts w:ascii="Barlow" w:eastAsia="Times New Roman" w:hAnsi="Barlow" w:cs="Times New Roman"/>
          <w:color w:val="000000"/>
          <w:kern w:val="0"/>
          <w:sz w:val="27"/>
          <w:szCs w:val="27"/>
          <w:lang w:eastAsia="es-ES"/>
          <w14:ligatures w14:val="none"/>
        </w:rPr>
        <w:t>ambos inclusive, siempre que las solicitudes presentadas hasta la fecha reúnan los requisitos del artículo 82.2.a) de Ley 58/2003, de 17 de diciembre, General Tributaria.</w:t>
      </w:r>
      <w:r w:rsidR="00E7002C">
        <w:rPr>
          <w:rFonts w:ascii="Barlow" w:eastAsia="Times New Roman" w:hAnsi="Barlow" w:cs="Times New Roman"/>
          <w:b/>
          <w:bCs/>
          <w:color w:val="000000"/>
          <w:kern w:val="0"/>
          <w:sz w:val="27"/>
          <w:szCs w:val="27"/>
          <w:lang w:eastAsia="es-ES"/>
          <w14:ligatures w14:val="none"/>
        </w:rPr>
        <w:t xml:space="preserve"> </w:t>
      </w:r>
    </w:p>
    <w:p w14:paraId="58508724" w14:textId="77777777" w:rsidR="00E7002C" w:rsidRPr="00E7002C" w:rsidRDefault="00E7002C" w:rsidP="00E7002C">
      <w:pPr>
        <w:pStyle w:val="Prrafodelista"/>
        <w:rPr>
          <w:rFonts w:ascii="Barlow" w:eastAsia="Times New Roman" w:hAnsi="Barlow" w:cs="Times New Roman"/>
          <w:b/>
          <w:bCs/>
          <w:color w:val="000000"/>
          <w:kern w:val="0"/>
          <w:sz w:val="27"/>
          <w:szCs w:val="27"/>
          <w:lang w:eastAsia="es-ES"/>
          <w14:ligatures w14:val="none"/>
        </w:rPr>
      </w:pPr>
    </w:p>
    <w:p w14:paraId="319FBE33" w14:textId="7647ED5E" w:rsidR="00E7002C" w:rsidRDefault="00E7002C" w:rsidP="00E7002C">
      <w:pPr>
        <w:pStyle w:val="Prrafodelista"/>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r w:rsidRPr="00E7002C">
        <w:rPr>
          <w:rFonts w:ascii="Barlow" w:eastAsia="Times New Roman" w:hAnsi="Barlow" w:cs="Times New Roman"/>
          <w:b/>
          <w:bCs/>
          <w:color w:val="000000"/>
          <w:kern w:val="0"/>
          <w:sz w:val="27"/>
          <w:szCs w:val="27"/>
          <w:lang w:eastAsia="es-ES"/>
          <w14:ligatures w14:val="none"/>
        </w:rPr>
        <w:t>El aplazamiento será de 24 meses y no devengarán intereses de demora durante los primeros 6 meses.</w:t>
      </w:r>
    </w:p>
    <w:p w14:paraId="5BC7963A" w14:textId="77777777" w:rsidR="00A3729E" w:rsidRDefault="00A3729E" w:rsidP="00E7002C">
      <w:pPr>
        <w:pStyle w:val="Prrafodelista"/>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p>
    <w:p w14:paraId="7BFC75C1" w14:textId="5EB86775" w:rsidR="00A3729E" w:rsidRDefault="00DF4161" w:rsidP="00A3729E">
      <w:pPr>
        <w:pStyle w:val="Prrafodelista"/>
        <w:numPr>
          <w:ilvl w:val="0"/>
          <w:numId w:val="1"/>
        </w:num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sidRPr="00DF4161">
        <w:rPr>
          <w:rFonts w:ascii="Barlow" w:eastAsia="Times New Roman" w:hAnsi="Barlow" w:cs="Times New Roman"/>
          <w:color w:val="000000"/>
          <w:kern w:val="0"/>
          <w:sz w:val="27"/>
          <w:szCs w:val="27"/>
          <w:lang w:eastAsia="es-ES"/>
          <w14:ligatures w14:val="none"/>
        </w:rPr>
        <w:t>Respecto a los plazos previstos en los apartados 2 y 5 del artículo 62 de la Ley 58/2003, de 17 de diciembre, General Tributaria,</w:t>
      </w:r>
      <w:r>
        <w:rPr>
          <w:rFonts w:ascii="Barlow" w:eastAsia="Times New Roman" w:hAnsi="Barlow" w:cs="Times New Roman"/>
          <w:b/>
          <w:bCs/>
          <w:color w:val="000000"/>
          <w:kern w:val="0"/>
          <w:sz w:val="27"/>
          <w:szCs w:val="27"/>
          <w:lang w:eastAsia="es-ES"/>
          <w14:ligatures w14:val="none"/>
        </w:rPr>
        <w:t xml:space="preserve"> l</w:t>
      </w:r>
      <w:r w:rsidR="00A3729E">
        <w:rPr>
          <w:rFonts w:ascii="Barlow" w:eastAsia="Times New Roman" w:hAnsi="Barlow" w:cs="Times New Roman"/>
          <w:b/>
          <w:bCs/>
          <w:color w:val="000000"/>
          <w:kern w:val="0"/>
          <w:sz w:val="27"/>
          <w:szCs w:val="27"/>
          <w:lang w:eastAsia="es-ES"/>
          <w14:ligatures w14:val="none"/>
        </w:rPr>
        <w:t xml:space="preserve">os vencimientos de los plazos de ingreso y los acuerdos de aplazamiento y fraccionamiento </w:t>
      </w:r>
      <w:r>
        <w:rPr>
          <w:rFonts w:ascii="Barlow" w:eastAsia="Times New Roman" w:hAnsi="Barlow" w:cs="Times New Roman"/>
          <w:b/>
          <w:bCs/>
          <w:color w:val="000000"/>
          <w:kern w:val="0"/>
          <w:sz w:val="27"/>
          <w:szCs w:val="27"/>
          <w:lang w:eastAsia="es-ES"/>
          <w14:ligatures w14:val="none"/>
        </w:rPr>
        <w:t xml:space="preserve">ya </w:t>
      </w:r>
      <w:r w:rsidR="00A3729E">
        <w:rPr>
          <w:rFonts w:ascii="Barlow" w:eastAsia="Times New Roman" w:hAnsi="Barlow" w:cs="Times New Roman"/>
          <w:b/>
          <w:bCs/>
          <w:color w:val="000000"/>
          <w:kern w:val="0"/>
          <w:sz w:val="27"/>
          <w:szCs w:val="27"/>
          <w:lang w:eastAsia="es-ES"/>
          <w14:ligatures w14:val="none"/>
        </w:rPr>
        <w:t xml:space="preserve">concedidos </w:t>
      </w:r>
      <w:r>
        <w:rPr>
          <w:rFonts w:ascii="Barlow" w:eastAsia="Times New Roman" w:hAnsi="Barlow" w:cs="Times New Roman"/>
          <w:b/>
          <w:bCs/>
          <w:color w:val="000000"/>
          <w:kern w:val="0"/>
          <w:sz w:val="27"/>
          <w:szCs w:val="27"/>
          <w:lang w:eastAsia="es-ES"/>
          <w14:ligatures w14:val="none"/>
        </w:rPr>
        <w:t xml:space="preserve">que </w:t>
      </w:r>
      <w:r w:rsidR="00A3729E">
        <w:rPr>
          <w:rFonts w:ascii="Barlow" w:eastAsia="Times New Roman" w:hAnsi="Barlow" w:cs="Times New Roman"/>
          <w:b/>
          <w:bCs/>
          <w:color w:val="000000"/>
          <w:kern w:val="0"/>
          <w:sz w:val="27"/>
          <w:szCs w:val="27"/>
          <w:lang w:eastAsia="es-ES"/>
          <w14:ligatures w14:val="none"/>
        </w:rPr>
        <w:t xml:space="preserve">no hayan concluido a la entrada en vigor del RD-Ley se extenderán hasta el 5 de febrero de 2025 </w:t>
      </w:r>
      <w:r w:rsidR="00A3729E" w:rsidRPr="00DF4161">
        <w:rPr>
          <w:rFonts w:ascii="Barlow" w:eastAsia="Times New Roman" w:hAnsi="Barlow" w:cs="Times New Roman"/>
          <w:color w:val="000000"/>
          <w:kern w:val="0"/>
          <w:sz w:val="27"/>
          <w:szCs w:val="27"/>
          <w:lang w:eastAsia="es-ES"/>
          <w14:ligatures w14:val="none"/>
        </w:rPr>
        <w:t>(salvo que el otorgado por la norma general sea mayor)</w:t>
      </w:r>
    </w:p>
    <w:p w14:paraId="293CAE8B" w14:textId="77777777" w:rsidR="00DF4161" w:rsidRDefault="00DF4161" w:rsidP="00DF4161">
      <w:pPr>
        <w:pStyle w:val="Prrafodelista"/>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p>
    <w:p w14:paraId="537DBAE6" w14:textId="02BD78BF" w:rsidR="00DF4161" w:rsidRDefault="00DF4161" w:rsidP="00A3729E">
      <w:pPr>
        <w:pStyle w:val="Prrafodelista"/>
        <w:numPr>
          <w:ilvl w:val="0"/>
          <w:numId w:val="1"/>
        </w:numPr>
        <w:shd w:val="clear" w:color="auto" w:fill="FFFFFF"/>
        <w:spacing w:after="225" w:line="324" w:lineRule="atLeast"/>
        <w:jc w:val="both"/>
        <w:rPr>
          <w:rFonts w:ascii="Barlow" w:eastAsia="Times New Roman" w:hAnsi="Barlow" w:cs="Times New Roman"/>
          <w:b/>
          <w:bCs/>
          <w:color w:val="000000"/>
          <w:kern w:val="0"/>
          <w:sz w:val="27"/>
          <w:szCs w:val="27"/>
          <w:lang w:eastAsia="es-ES"/>
          <w14:ligatures w14:val="none"/>
        </w:rPr>
      </w:pPr>
      <w:r w:rsidRPr="00DF4161">
        <w:rPr>
          <w:rFonts w:ascii="Barlow" w:eastAsia="Times New Roman" w:hAnsi="Barlow" w:cs="Times New Roman"/>
          <w:b/>
          <w:bCs/>
          <w:color w:val="000000"/>
          <w:kern w:val="0"/>
          <w:sz w:val="27"/>
          <w:szCs w:val="27"/>
          <w:lang w:eastAsia="es-ES"/>
          <w14:ligatures w14:val="none"/>
        </w:rPr>
        <w:t>El periodo comprendido entre el 28 de octubre de 2024 y el 30 de enero de 2025 no computará a efectos del plazo máximo de duración, de los procedimientos de aplicación de tributos, sancionadores y de revisión tramitados por la AEAT ni de recuperación de Ayudas de Estado</w:t>
      </w:r>
    </w:p>
    <w:p w14:paraId="50868813" w14:textId="77777777" w:rsidR="009F6E19" w:rsidRPr="009F6E19" w:rsidRDefault="009F6E19" w:rsidP="009F6E19">
      <w:pPr>
        <w:pStyle w:val="Prrafodelista"/>
        <w:rPr>
          <w:rFonts w:ascii="Barlow" w:eastAsia="Times New Roman" w:hAnsi="Barlow" w:cs="Times New Roman"/>
          <w:b/>
          <w:bCs/>
          <w:color w:val="000000"/>
          <w:kern w:val="0"/>
          <w:sz w:val="27"/>
          <w:szCs w:val="27"/>
          <w:lang w:eastAsia="es-ES"/>
          <w14:ligatures w14:val="none"/>
        </w:rPr>
      </w:pPr>
    </w:p>
    <w:p w14:paraId="53AA8A3F" w14:textId="549C594B" w:rsidR="009F6E19" w:rsidRPr="009F6E19" w:rsidRDefault="009F6E19" w:rsidP="00A3729E">
      <w:pPr>
        <w:pStyle w:val="Prrafodelista"/>
        <w:numPr>
          <w:ilvl w:val="0"/>
          <w:numId w:val="1"/>
        </w:num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b/>
          <w:bCs/>
          <w:color w:val="000000"/>
          <w:kern w:val="0"/>
          <w:sz w:val="27"/>
          <w:szCs w:val="27"/>
          <w:lang w:eastAsia="es-ES"/>
          <w14:ligatures w14:val="none"/>
        </w:rPr>
        <w:t xml:space="preserve">Los plazos para interponer recursos de reposición o reclamaciones </w:t>
      </w:r>
      <w:r w:rsidR="00126462">
        <w:rPr>
          <w:rFonts w:ascii="Barlow" w:eastAsia="Times New Roman" w:hAnsi="Barlow" w:cs="Times New Roman"/>
          <w:b/>
          <w:bCs/>
          <w:color w:val="000000"/>
          <w:kern w:val="0"/>
          <w:sz w:val="27"/>
          <w:szCs w:val="27"/>
          <w:lang w:eastAsia="es-ES"/>
          <w14:ligatures w14:val="none"/>
        </w:rPr>
        <w:t>económico-administrativas</w:t>
      </w:r>
      <w:r>
        <w:rPr>
          <w:rFonts w:ascii="Barlow" w:eastAsia="Times New Roman" w:hAnsi="Barlow" w:cs="Times New Roman"/>
          <w:b/>
          <w:bCs/>
          <w:color w:val="000000"/>
          <w:kern w:val="0"/>
          <w:sz w:val="27"/>
          <w:szCs w:val="27"/>
          <w:lang w:eastAsia="es-ES"/>
          <w14:ligatures w14:val="none"/>
        </w:rPr>
        <w:t xml:space="preserve"> que no hayan concluido el 28 de octubre de 2024, se extenderán hasta el 30 de enero de </w:t>
      </w:r>
      <w:r w:rsidR="002C72CE">
        <w:rPr>
          <w:rFonts w:ascii="Barlow" w:eastAsia="Times New Roman" w:hAnsi="Barlow" w:cs="Times New Roman"/>
          <w:b/>
          <w:bCs/>
          <w:color w:val="000000"/>
          <w:kern w:val="0"/>
          <w:sz w:val="27"/>
          <w:szCs w:val="27"/>
          <w:lang w:eastAsia="es-ES"/>
          <w14:ligatures w14:val="none"/>
        </w:rPr>
        <w:t>2025 (</w:t>
      </w:r>
      <w:r w:rsidRPr="00126462">
        <w:rPr>
          <w:rFonts w:ascii="Barlow" w:eastAsia="Times New Roman" w:hAnsi="Barlow" w:cs="Times New Roman"/>
          <w:color w:val="000000"/>
          <w:kern w:val="0"/>
          <w:sz w:val="27"/>
          <w:szCs w:val="27"/>
          <w:lang w:eastAsia="es-ES"/>
          <w14:ligatures w14:val="none"/>
        </w:rPr>
        <w:t>s</w:t>
      </w:r>
      <w:r w:rsidRPr="009F6E19">
        <w:rPr>
          <w:rFonts w:ascii="Barlow" w:eastAsia="Times New Roman" w:hAnsi="Barlow" w:cs="Times New Roman"/>
          <w:color w:val="000000"/>
          <w:kern w:val="0"/>
          <w:sz w:val="27"/>
          <w:szCs w:val="27"/>
          <w:lang w:eastAsia="es-ES"/>
          <w14:ligatures w14:val="none"/>
        </w:rPr>
        <w:t>alvo que el plazo otorgado por la norma general sea mayor)</w:t>
      </w:r>
    </w:p>
    <w:p w14:paraId="4748551A" w14:textId="77777777" w:rsidR="002E0587" w:rsidRDefault="002E0587" w:rsidP="002E0587">
      <w:pPr>
        <w:ind w:left="360"/>
        <w:rPr>
          <w:rFonts w:ascii="Barlow" w:eastAsia="Times New Roman" w:hAnsi="Barlow" w:cs="Times New Roman"/>
          <w:color w:val="000000"/>
          <w:kern w:val="0"/>
          <w:sz w:val="27"/>
          <w:szCs w:val="27"/>
          <w:lang w:eastAsia="es-ES"/>
          <w14:ligatures w14:val="none"/>
        </w:rPr>
      </w:pPr>
    </w:p>
    <w:p w14:paraId="10D7715C" w14:textId="4762D061" w:rsidR="009F6E19" w:rsidRDefault="002C72CE" w:rsidP="002C72CE">
      <w:pPr>
        <w:ind w:left="360"/>
        <w:jc w:val="both"/>
        <w:rPr>
          <w:rFonts w:ascii="Barlow" w:eastAsia="Times New Roman" w:hAnsi="Barlow" w:cs="Times New Roman"/>
          <w:color w:val="000000"/>
          <w:kern w:val="0"/>
          <w:sz w:val="27"/>
          <w:szCs w:val="27"/>
          <w:lang w:eastAsia="es-ES"/>
          <w14:ligatures w14:val="none"/>
        </w:rPr>
      </w:pPr>
      <w:r w:rsidRPr="0011330D">
        <w:rPr>
          <w:rFonts w:ascii="Barlow" w:eastAsia="Times New Roman" w:hAnsi="Barlow" w:cs="Times New Roman"/>
          <w:color w:val="000000"/>
          <w:kern w:val="0"/>
          <w:sz w:val="27"/>
          <w:szCs w:val="27"/>
          <w:lang w:eastAsia="es-ES"/>
          <w14:ligatures w14:val="none"/>
        </w:rPr>
        <w:sym w:font="Wingdings" w:char="F0E0"/>
      </w:r>
      <w:r w:rsidRPr="0011330D">
        <w:rPr>
          <w:rFonts w:ascii="Barlow" w:eastAsia="Times New Roman" w:hAnsi="Barlow" w:cs="Times New Roman"/>
          <w:color w:val="000000"/>
          <w:kern w:val="0"/>
          <w:sz w:val="27"/>
          <w:szCs w:val="27"/>
          <w:lang w:eastAsia="es-ES"/>
          <w14:ligatures w14:val="none"/>
        </w:rPr>
        <w:t xml:space="preserve"> </w:t>
      </w:r>
      <w:r w:rsidR="002E0587" w:rsidRPr="0011330D">
        <w:rPr>
          <w:rFonts w:ascii="Barlow" w:eastAsia="Times New Roman" w:hAnsi="Barlow" w:cs="Times New Roman"/>
          <w:color w:val="000000"/>
          <w:kern w:val="0"/>
          <w:sz w:val="27"/>
          <w:szCs w:val="27"/>
          <w:lang w:eastAsia="es-ES"/>
          <w14:ligatures w14:val="none"/>
        </w:rPr>
        <w:t xml:space="preserve">En el ámbito de la Administración General del Estado, a los efectos del cómputo de los plazos máximos de los procedimientos económico-administrativos referidos a obligados tributarios con domicilio en el </w:t>
      </w:r>
      <w:r w:rsidR="002E0587" w:rsidRPr="0011330D">
        <w:rPr>
          <w:rFonts w:ascii="Barlow" w:eastAsia="Times New Roman" w:hAnsi="Barlow" w:cs="Times New Roman"/>
          <w:color w:val="000000"/>
          <w:kern w:val="0"/>
          <w:sz w:val="27"/>
          <w:szCs w:val="27"/>
          <w:lang w:eastAsia="es-ES"/>
          <w14:ligatures w14:val="none"/>
        </w:rPr>
        <w:lastRenderedPageBreak/>
        <w:t xml:space="preserve">ámbito territorial de aplicación de esta norma, se entenderán notificadas las resoluciones que les pongan fin </w:t>
      </w:r>
      <w:r w:rsidR="0011330D" w:rsidRPr="0011330D">
        <w:rPr>
          <w:rFonts w:ascii="Barlow" w:eastAsia="Times New Roman" w:hAnsi="Barlow" w:cs="Times New Roman"/>
          <w:color w:val="000000"/>
          <w:kern w:val="0"/>
          <w:sz w:val="27"/>
          <w:szCs w:val="27"/>
          <w:lang w:eastAsia="es-ES"/>
          <w14:ligatures w14:val="none"/>
        </w:rPr>
        <w:t xml:space="preserve">a </w:t>
      </w:r>
      <w:r w:rsidR="002E0587" w:rsidRPr="0011330D">
        <w:rPr>
          <w:rFonts w:ascii="Barlow" w:eastAsia="Times New Roman" w:hAnsi="Barlow" w:cs="Times New Roman"/>
          <w:color w:val="000000"/>
          <w:kern w:val="0"/>
          <w:sz w:val="27"/>
          <w:szCs w:val="27"/>
          <w:lang w:eastAsia="es-ES"/>
          <w14:ligatures w14:val="none"/>
        </w:rPr>
        <w:t>cuando</w:t>
      </w:r>
      <w:r w:rsidRPr="0011330D">
        <w:rPr>
          <w:rFonts w:ascii="Barlow" w:eastAsia="Times New Roman" w:hAnsi="Barlow" w:cs="Times New Roman"/>
          <w:color w:val="000000"/>
          <w:kern w:val="0"/>
          <w:sz w:val="27"/>
          <w:szCs w:val="27"/>
          <w:lang w:eastAsia="es-ES"/>
          <w14:ligatures w14:val="none"/>
        </w:rPr>
        <w:t xml:space="preserve"> </w:t>
      </w:r>
      <w:r w:rsidR="002E0587" w:rsidRPr="0011330D">
        <w:rPr>
          <w:rFonts w:ascii="Barlow" w:eastAsia="Times New Roman" w:hAnsi="Barlow" w:cs="Times New Roman"/>
          <w:color w:val="000000"/>
          <w:kern w:val="0"/>
          <w:sz w:val="27"/>
          <w:szCs w:val="27"/>
          <w:lang w:eastAsia="es-ES"/>
          <w14:ligatures w14:val="none"/>
        </w:rPr>
        <w:t>se acredite un intento de notificación entre el 28 de octubre de 2024 y el 30 de enero de 2025. En estos casos, el plazo para recurrir la resolución no se iniciará hasta concluido dicho periodo</w:t>
      </w:r>
    </w:p>
    <w:p w14:paraId="1813B675" w14:textId="77777777" w:rsidR="002C72CE" w:rsidRDefault="002C72CE" w:rsidP="002C72CE">
      <w:pPr>
        <w:ind w:left="360"/>
        <w:jc w:val="both"/>
        <w:rPr>
          <w:rFonts w:ascii="Barlow" w:eastAsia="Times New Roman" w:hAnsi="Barlow" w:cs="Times New Roman"/>
          <w:color w:val="000000"/>
          <w:kern w:val="0"/>
          <w:sz w:val="27"/>
          <w:szCs w:val="27"/>
          <w:lang w:eastAsia="es-ES"/>
          <w14:ligatures w14:val="none"/>
        </w:rPr>
      </w:pPr>
    </w:p>
    <w:p w14:paraId="5B60A13B" w14:textId="1564063E" w:rsidR="004A1ACA" w:rsidRPr="00A56883" w:rsidRDefault="00A56883" w:rsidP="004A1ACA">
      <w:pPr>
        <w:shd w:val="clear" w:color="auto" w:fill="FFFFFF"/>
        <w:spacing w:after="225" w:line="324" w:lineRule="atLeast"/>
        <w:rPr>
          <w:rFonts w:ascii="Barlow" w:eastAsia="Times New Roman" w:hAnsi="Barlow" w:cs="Times New Roman"/>
          <w:b/>
          <w:bCs/>
          <w:color w:val="004E9A"/>
          <w:kern w:val="0"/>
          <w:sz w:val="27"/>
          <w:szCs w:val="27"/>
          <w:lang w:eastAsia="es-ES"/>
          <w14:ligatures w14:val="none"/>
        </w:rPr>
      </w:pPr>
      <w:r w:rsidRPr="00A56883">
        <w:rPr>
          <w:rFonts w:ascii="Barlow" w:eastAsia="Times New Roman" w:hAnsi="Barlow" w:cs="Times New Roman"/>
          <w:b/>
          <w:bCs/>
          <w:color w:val="004E9A"/>
          <w:kern w:val="0"/>
          <w:sz w:val="27"/>
          <w:szCs w:val="27"/>
          <w:lang w:eastAsia="es-ES"/>
          <w14:ligatures w14:val="none"/>
        </w:rPr>
        <w:t>2</w:t>
      </w:r>
      <w:r w:rsidR="004A1ACA" w:rsidRPr="00A56883">
        <w:rPr>
          <w:rFonts w:ascii="Barlow" w:eastAsia="Times New Roman" w:hAnsi="Barlow" w:cs="Times New Roman"/>
          <w:b/>
          <w:bCs/>
          <w:color w:val="004E9A"/>
          <w:kern w:val="0"/>
          <w:sz w:val="27"/>
          <w:szCs w:val="27"/>
          <w:lang w:eastAsia="es-ES"/>
          <w14:ligatures w14:val="none"/>
        </w:rPr>
        <w:t>.- Línea de Ayudas directas a empresas especialmente afectadas por la DANA</w:t>
      </w:r>
      <w:r w:rsidR="001A36E6" w:rsidRPr="00A56883">
        <w:rPr>
          <w:rFonts w:ascii="Barlow" w:eastAsia="Times New Roman" w:hAnsi="Barlow" w:cs="Times New Roman"/>
          <w:b/>
          <w:bCs/>
          <w:color w:val="004E9A"/>
          <w:kern w:val="0"/>
          <w:sz w:val="27"/>
          <w:szCs w:val="27"/>
          <w:lang w:eastAsia="es-ES"/>
          <w14:ligatures w14:val="none"/>
        </w:rPr>
        <w:t xml:space="preserve"> (Artículo 11)</w:t>
      </w:r>
    </w:p>
    <w:p w14:paraId="5573B97F" w14:textId="090E4BA5" w:rsidR="004A1ACA" w:rsidRDefault="004A1ACA" w:rsidP="008B12A2">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Las empresas que a 28 de octubre de 2024 tuvieran declarado su domicilio fiscal en cualquiera de los municipios o áreas de lo mismos afectados por la DANA (Anexo) y estuvieran dados de alta en el censo de empresarios, serán beneficiari</w:t>
      </w:r>
      <w:r w:rsidR="002744C0">
        <w:rPr>
          <w:rFonts w:ascii="Barlow" w:eastAsia="Times New Roman" w:hAnsi="Barlow" w:cs="Times New Roman"/>
          <w:color w:val="000000"/>
          <w:kern w:val="0"/>
          <w:sz w:val="27"/>
          <w:szCs w:val="27"/>
          <w:lang w:eastAsia="es-ES"/>
          <w14:ligatures w14:val="none"/>
        </w:rPr>
        <w:t>a</w:t>
      </w:r>
      <w:r>
        <w:rPr>
          <w:rFonts w:ascii="Barlow" w:eastAsia="Times New Roman" w:hAnsi="Barlow" w:cs="Times New Roman"/>
          <w:color w:val="000000"/>
          <w:kern w:val="0"/>
          <w:sz w:val="27"/>
          <w:szCs w:val="27"/>
          <w:lang w:eastAsia="es-ES"/>
          <w14:ligatures w14:val="none"/>
        </w:rPr>
        <w:t xml:space="preserve">s de una </w:t>
      </w:r>
      <w:r w:rsidRPr="003314C5">
        <w:rPr>
          <w:rFonts w:ascii="Barlow" w:eastAsia="Times New Roman" w:hAnsi="Barlow" w:cs="Times New Roman"/>
          <w:b/>
          <w:bCs/>
          <w:color w:val="000000"/>
          <w:kern w:val="0"/>
          <w:sz w:val="27"/>
          <w:szCs w:val="27"/>
          <w:u w:val="single"/>
          <w:lang w:eastAsia="es-ES"/>
          <w14:ligatures w14:val="none"/>
        </w:rPr>
        <w:t>ayuda directa</w:t>
      </w:r>
      <w:r>
        <w:rPr>
          <w:rFonts w:ascii="Barlow" w:eastAsia="Times New Roman" w:hAnsi="Barlow" w:cs="Times New Roman"/>
          <w:color w:val="000000"/>
          <w:kern w:val="0"/>
          <w:sz w:val="27"/>
          <w:szCs w:val="27"/>
          <w:lang w:eastAsia="es-ES"/>
          <w14:ligatures w14:val="none"/>
        </w:rPr>
        <w:t xml:space="preserve"> cuyo importe se determinará en función del volumen de operaciones</w:t>
      </w:r>
      <w:r w:rsidR="002744C0">
        <w:rPr>
          <w:rFonts w:ascii="Barlow" w:eastAsia="Times New Roman" w:hAnsi="Barlow" w:cs="Times New Roman"/>
          <w:color w:val="000000"/>
          <w:kern w:val="0"/>
          <w:sz w:val="27"/>
          <w:szCs w:val="27"/>
          <w:lang w:eastAsia="es-ES"/>
          <w14:ligatures w14:val="none"/>
        </w:rPr>
        <w:t xml:space="preserve"> declarado en el marco del IVA, o en su defecto, el importe neto de la cifra de negocios, según el siguiente cuadro: </w:t>
      </w:r>
    </w:p>
    <w:p w14:paraId="37140F10" w14:textId="77777777" w:rsidR="008B12A2" w:rsidRDefault="008B12A2" w:rsidP="008B12A2">
      <w:pPr>
        <w:jc w:val="both"/>
      </w:pPr>
    </w:p>
    <w:tbl>
      <w:tblPr>
        <w:tblStyle w:val="Tablaconcuadrcula"/>
        <w:tblW w:w="0" w:type="auto"/>
        <w:tblLook w:val="04A0" w:firstRow="1" w:lastRow="0" w:firstColumn="1" w:lastColumn="0" w:noHBand="0" w:noVBand="1"/>
      </w:tblPr>
      <w:tblGrid>
        <w:gridCol w:w="6374"/>
        <w:gridCol w:w="2120"/>
      </w:tblGrid>
      <w:tr w:rsidR="002744C0" w14:paraId="4A98F638" w14:textId="77777777" w:rsidTr="003314C5">
        <w:tc>
          <w:tcPr>
            <w:tcW w:w="6374" w:type="dxa"/>
          </w:tcPr>
          <w:p w14:paraId="3B0C8EEF" w14:textId="14784097" w:rsidR="002744C0" w:rsidRPr="003314C5" w:rsidRDefault="002744C0">
            <w:pPr>
              <w:rPr>
                <w:b/>
                <w:bCs/>
              </w:rPr>
            </w:pPr>
            <w:r w:rsidRPr="003314C5">
              <w:rPr>
                <w:b/>
                <w:bCs/>
              </w:rPr>
              <w:t>Volumen operaciones /importe neto cifra negocios 2023 (M: millones de euros)</w:t>
            </w:r>
          </w:p>
        </w:tc>
        <w:tc>
          <w:tcPr>
            <w:tcW w:w="2120" w:type="dxa"/>
          </w:tcPr>
          <w:p w14:paraId="6BD44CF3" w14:textId="4047F322" w:rsidR="002744C0" w:rsidRPr="003314C5" w:rsidRDefault="002744C0">
            <w:pPr>
              <w:rPr>
                <w:b/>
                <w:bCs/>
              </w:rPr>
            </w:pPr>
            <w:r w:rsidRPr="003314C5">
              <w:rPr>
                <w:b/>
                <w:bCs/>
              </w:rPr>
              <w:t>Importe ayuda (euros)</w:t>
            </w:r>
          </w:p>
        </w:tc>
      </w:tr>
      <w:tr w:rsidR="002744C0" w14:paraId="04784BCA" w14:textId="77777777" w:rsidTr="003314C5">
        <w:tc>
          <w:tcPr>
            <w:tcW w:w="6374" w:type="dxa"/>
          </w:tcPr>
          <w:p w14:paraId="692AAA91" w14:textId="12BC7B80" w:rsidR="002744C0" w:rsidRDefault="002744C0">
            <w:r>
              <w:t>≤ 1M</w:t>
            </w:r>
          </w:p>
        </w:tc>
        <w:tc>
          <w:tcPr>
            <w:tcW w:w="2120" w:type="dxa"/>
          </w:tcPr>
          <w:p w14:paraId="24DE6FEB" w14:textId="25B973AD" w:rsidR="002744C0" w:rsidRDefault="002744C0">
            <w:r>
              <w:t xml:space="preserve"> 10.000</w:t>
            </w:r>
          </w:p>
        </w:tc>
      </w:tr>
      <w:tr w:rsidR="002744C0" w14:paraId="68253E8D" w14:textId="77777777" w:rsidTr="003314C5">
        <w:tc>
          <w:tcPr>
            <w:tcW w:w="6374" w:type="dxa"/>
          </w:tcPr>
          <w:p w14:paraId="16002774" w14:textId="09C57C4B" w:rsidR="002744C0" w:rsidRDefault="002744C0">
            <w:r>
              <w:t>&gt;1M ≤ 2M</w:t>
            </w:r>
          </w:p>
        </w:tc>
        <w:tc>
          <w:tcPr>
            <w:tcW w:w="2120" w:type="dxa"/>
          </w:tcPr>
          <w:p w14:paraId="1EF640EB" w14:textId="0AC19F17" w:rsidR="002744C0" w:rsidRDefault="008B12A2">
            <w:r>
              <w:t xml:space="preserve"> </w:t>
            </w:r>
            <w:r w:rsidR="002744C0">
              <w:t>20.000</w:t>
            </w:r>
          </w:p>
        </w:tc>
      </w:tr>
      <w:tr w:rsidR="002744C0" w14:paraId="48A1FF2A" w14:textId="77777777" w:rsidTr="003314C5">
        <w:tc>
          <w:tcPr>
            <w:tcW w:w="6374" w:type="dxa"/>
          </w:tcPr>
          <w:p w14:paraId="77DD967D" w14:textId="0C76D649" w:rsidR="002744C0" w:rsidRDefault="002744C0">
            <w:r>
              <w:t>&gt;2M ≤ 6M</w:t>
            </w:r>
          </w:p>
        </w:tc>
        <w:tc>
          <w:tcPr>
            <w:tcW w:w="2120" w:type="dxa"/>
          </w:tcPr>
          <w:p w14:paraId="0AE32F80" w14:textId="4100E11D" w:rsidR="002744C0" w:rsidRDefault="008B12A2">
            <w:r>
              <w:t xml:space="preserve"> </w:t>
            </w:r>
            <w:r w:rsidR="002744C0">
              <w:t>40.000</w:t>
            </w:r>
          </w:p>
        </w:tc>
      </w:tr>
      <w:tr w:rsidR="002744C0" w14:paraId="2B52F010" w14:textId="77777777" w:rsidTr="003314C5">
        <w:tc>
          <w:tcPr>
            <w:tcW w:w="6374" w:type="dxa"/>
          </w:tcPr>
          <w:p w14:paraId="09C6DAE8" w14:textId="05B77AD1" w:rsidR="002744C0" w:rsidRDefault="002744C0">
            <w:r>
              <w:t>&gt;6M ≤ 10M</w:t>
            </w:r>
          </w:p>
        </w:tc>
        <w:tc>
          <w:tcPr>
            <w:tcW w:w="2120" w:type="dxa"/>
          </w:tcPr>
          <w:p w14:paraId="2CC8B84B" w14:textId="59C8F25F" w:rsidR="002744C0" w:rsidRDefault="008B12A2">
            <w:r>
              <w:t xml:space="preserve"> </w:t>
            </w:r>
            <w:r w:rsidR="002744C0">
              <w:t>80.000</w:t>
            </w:r>
          </w:p>
        </w:tc>
      </w:tr>
      <w:tr w:rsidR="002744C0" w14:paraId="3B9729AB" w14:textId="77777777" w:rsidTr="003314C5">
        <w:tc>
          <w:tcPr>
            <w:tcW w:w="6374" w:type="dxa"/>
          </w:tcPr>
          <w:p w14:paraId="27D04EFC" w14:textId="0CF528D9" w:rsidR="002744C0" w:rsidRDefault="002744C0">
            <w:r>
              <w:t>&gt;10M</w:t>
            </w:r>
          </w:p>
        </w:tc>
        <w:tc>
          <w:tcPr>
            <w:tcW w:w="2120" w:type="dxa"/>
          </w:tcPr>
          <w:p w14:paraId="7D72E3B9" w14:textId="3FE3EAF4" w:rsidR="002744C0" w:rsidRDefault="002744C0">
            <w:r>
              <w:t>150.000</w:t>
            </w:r>
          </w:p>
        </w:tc>
      </w:tr>
    </w:tbl>
    <w:p w14:paraId="41A3AF37" w14:textId="77777777" w:rsidR="004A1ACA" w:rsidRDefault="004A1ACA"/>
    <w:p w14:paraId="6A914BC3" w14:textId="56296FF7" w:rsidR="001A36E6" w:rsidRPr="002C72CE" w:rsidRDefault="001A36E6" w:rsidP="007942D1">
      <w:pPr>
        <w:jc w:val="both"/>
        <w:rPr>
          <w:rFonts w:ascii="Barlow" w:eastAsia="Times New Roman" w:hAnsi="Barlow" w:cs="Times New Roman"/>
          <w:b/>
          <w:bCs/>
          <w:color w:val="000000"/>
          <w:kern w:val="0"/>
          <w:sz w:val="27"/>
          <w:szCs w:val="27"/>
          <w:lang w:eastAsia="es-ES"/>
          <w14:ligatures w14:val="none"/>
        </w:rPr>
      </w:pPr>
      <w:r w:rsidRPr="002C72CE">
        <w:rPr>
          <w:rFonts w:ascii="Barlow" w:eastAsia="Times New Roman" w:hAnsi="Barlow" w:cs="Times New Roman"/>
          <w:b/>
          <w:bCs/>
          <w:color w:val="000000"/>
          <w:kern w:val="0"/>
          <w:sz w:val="27"/>
          <w:szCs w:val="27"/>
          <w:lang w:eastAsia="es-ES"/>
          <w14:ligatures w14:val="none"/>
        </w:rPr>
        <w:t xml:space="preserve">Será </w:t>
      </w:r>
      <w:proofErr w:type="gramStart"/>
      <w:r w:rsidRPr="002C72CE">
        <w:rPr>
          <w:rFonts w:ascii="Barlow" w:eastAsia="Times New Roman" w:hAnsi="Barlow" w:cs="Times New Roman"/>
          <w:b/>
          <w:bCs/>
          <w:color w:val="000000"/>
          <w:kern w:val="0"/>
          <w:sz w:val="27"/>
          <w:szCs w:val="27"/>
          <w:lang w:eastAsia="es-ES"/>
          <w14:ligatures w14:val="none"/>
        </w:rPr>
        <w:t>requisito imprescindible</w:t>
      </w:r>
      <w:proofErr w:type="gramEnd"/>
      <w:r w:rsidRPr="002C72CE">
        <w:rPr>
          <w:rFonts w:ascii="Barlow" w:eastAsia="Times New Roman" w:hAnsi="Barlow" w:cs="Times New Roman"/>
          <w:b/>
          <w:bCs/>
          <w:color w:val="000000"/>
          <w:kern w:val="0"/>
          <w:sz w:val="27"/>
          <w:szCs w:val="27"/>
          <w:lang w:eastAsia="es-ES"/>
          <w14:ligatures w14:val="none"/>
        </w:rPr>
        <w:t xml:space="preserve"> para no perder esta la ayuda que el beneficiario siga de alta en el censo de empresarios con fecha 30 de junio de 2025.</w:t>
      </w:r>
    </w:p>
    <w:p w14:paraId="6AAAC081" w14:textId="4EFA96CA" w:rsidR="003314C5" w:rsidRDefault="008B12A2"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La solicitud podrá presentarse en la sede electrónica de la AEAT a partir del 19 de noviembre y hasta el 31 de diciembre de 2024, mediante la cumplimentación de un formulario electrónico donde necesariamente figurar</w:t>
      </w:r>
      <w:r w:rsidR="003314C5">
        <w:rPr>
          <w:rFonts w:ascii="Barlow" w:eastAsia="Times New Roman" w:hAnsi="Barlow" w:cs="Times New Roman"/>
          <w:color w:val="000000"/>
          <w:kern w:val="0"/>
          <w:sz w:val="27"/>
          <w:szCs w:val="27"/>
          <w:lang w:eastAsia="es-ES"/>
          <w14:ligatures w14:val="none"/>
        </w:rPr>
        <w:t>á</w:t>
      </w:r>
      <w:r>
        <w:rPr>
          <w:rFonts w:ascii="Barlow" w:eastAsia="Times New Roman" w:hAnsi="Barlow" w:cs="Times New Roman"/>
          <w:color w:val="000000"/>
          <w:kern w:val="0"/>
          <w:sz w:val="27"/>
          <w:szCs w:val="27"/>
          <w:lang w:eastAsia="es-ES"/>
          <w14:ligatures w14:val="none"/>
        </w:rPr>
        <w:t xml:space="preserve"> la cuenta bancaria </w:t>
      </w:r>
      <w:r w:rsidR="003314C5">
        <w:rPr>
          <w:rFonts w:ascii="Barlow" w:eastAsia="Times New Roman" w:hAnsi="Barlow" w:cs="Times New Roman"/>
          <w:color w:val="000000"/>
          <w:kern w:val="0"/>
          <w:sz w:val="27"/>
          <w:szCs w:val="27"/>
          <w:lang w:eastAsia="es-ES"/>
          <w14:ligatures w14:val="none"/>
        </w:rPr>
        <w:t>donde la Agencia Tributaria realizará el abono de la ayuda correspondiente a partir del 1 de diciembre.</w:t>
      </w:r>
      <w:r w:rsidR="001A36E6">
        <w:rPr>
          <w:rFonts w:ascii="Barlow" w:eastAsia="Times New Roman" w:hAnsi="Barlow" w:cs="Times New Roman"/>
          <w:color w:val="000000"/>
          <w:kern w:val="0"/>
          <w:sz w:val="27"/>
          <w:szCs w:val="27"/>
          <w:lang w:eastAsia="es-ES"/>
          <w14:ligatures w14:val="none"/>
        </w:rPr>
        <w:t xml:space="preserve"> </w:t>
      </w:r>
    </w:p>
    <w:p w14:paraId="4C70158B" w14:textId="7719951F" w:rsidR="001A36E6" w:rsidRDefault="001A36E6"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La AEAT podrá solicitar con posterioridad a la solicitud, información adicional a efectos de realizar las comprobaciones necesarias.</w:t>
      </w:r>
    </w:p>
    <w:p w14:paraId="3FE35E3C" w14:textId="1CBE3BC7" w:rsidR="008B12A2" w:rsidRDefault="003314C5"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lastRenderedPageBreak/>
        <w:t xml:space="preserve">Si transcurridos tres meses desde la fecha de finalización del plazo </w:t>
      </w:r>
      <w:r w:rsidR="00764045">
        <w:rPr>
          <w:rFonts w:ascii="Barlow" w:eastAsia="Times New Roman" w:hAnsi="Barlow" w:cs="Times New Roman"/>
          <w:color w:val="000000"/>
          <w:kern w:val="0"/>
          <w:sz w:val="27"/>
          <w:szCs w:val="27"/>
          <w:lang w:eastAsia="es-ES"/>
          <w14:ligatures w14:val="none"/>
        </w:rPr>
        <w:t xml:space="preserve">máximo </w:t>
      </w:r>
      <w:r>
        <w:rPr>
          <w:rFonts w:ascii="Barlow" w:eastAsia="Times New Roman" w:hAnsi="Barlow" w:cs="Times New Roman"/>
          <w:color w:val="000000"/>
          <w:kern w:val="0"/>
          <w:sz w:val="27"/>
          <w:szCs w:val="27"/>
          <w:lang w:eastAsia="es-ES"/>
          <w14:ligatures w14:val="none"/>
        </w:rPr>
        <w:t xml:space="preserve">de </w:t>
      </w:r>
      <w:r w:rsidR="00764045">
        <w:rPr>
          <w:rFonts w:ascii="Barlow" w:eastAsia="Times New Roman" w:hAnsi="Barlow" w:cs="Times New Roman"/>
          <w:color w:val="000000"/>
          <w:kern w:val="0"/>
          <w:sz w:val="27"/>
          <w:szCs w:val="27"/>
          <w:lang w:eastAsia="es-ES"/>
          <w14:ligatures w14:val="none"/>
        </w:rPr>
        <w:t xml:space="preserve">solicitud </w:t>
      </w:r>
      <w:r w:rsidR="001A36E6">
        <w:rPr>
          <w:rFonts w:ascii="Barlow" w:eastAsia="Times New Roman" w:hAnsi="Barlow" w:cs="Times New Roman"/>
          <w:color w:val="000000"/>
          <w:kern w:val="0"/>
          <w:sz w:val="27"/>
          <w:szCs w:val="27"/>
          <w:lang w:eastAsia="es-ES"/>
          <w14:ligatures w14:val="none"/>
        </w:rPr>
        <w:t>no se hubiese recibido la ayuda, la solicitud podrá entenderse desestimada y, se podrá interponer recurso de reposición y reclamación económico-administrativa, en los términos previstos en la Ley 58/2003, de 17 de diciembre, General Tributaria</w:t>
      </w:r>
    </w:p>
    <w:p w14:paraId="0E5D54E7" w14:textId="47A17E3E" w:rsidR="003314C5" w:rsidRDefault="001A36E6"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Estas ayudas serán inembargables a los efectos del artículo 169.5 de la Ley 58/2003 de 17 de diciembre, General Tributaria y estarán exentas </w:t>
      </w:r>
      <w:r w:rsidR="00A56883">
        <w:rPr>
          <w:rFonts w:ascii="Barlow" w:eastAsia="Times New Roman" w:hAnsi="Barlow" w:cs="Times New Roman"/>
          <w:color w:val="000000"/>
          <w:kern w:val="0"/>
          <w:sz w:val="27"/>
          <w:szCs w:val="27"/>
          <w:lang w:eastAsia="es-ES"/>
          <w14:ligatures w14:val="none"/>
        </w:rPr>
        <w:t xml:space="preserve">de tributar </w:t>
      </w:r>
      <w:r>
        <w:rPr>
          <w:rFonts w:ascii="Barlow" w:eastAsia="Times New Roman" w:hAnsi="Barlow" w:cs="Times New Roman"/>
          <w:color w:val="000000"/>
          <w:kern w:val="0"/>
          <w:sz w:val="27"/>
          <w:szCs w:val="27"/>
          <w:lang w:eastAsia="es-ES"/>
          <w14:ligatures w14:val="none"/>
        </w:rPr>
        <w:t>en el Impuesto de Sociedades</w:t>
      </w:r>
      <w:r w:rsidR="00A56883">
        <w:rPr>
          <w:rFonts w:ascii="Barlow" w:eastAsia="Times New Roman" w:hAnsi="Barlow" w:cs="Times New Roman"/>
          <w:color w:val="000000"/>
          <w:kern w:val="0"/>
          <w:sz w:val="27"/>
          <w:szCs w:val="27"/>
          <w:lang w:eastAsia="es-ES"/>
          <w14:ligatures w14:val="none"/>
        </w:rPr>
        <w:t>.</w:t>
      </w:r>
      <w:r>
        <w:rPr>
          <w:rFonts w:ascii="Barlow" w:eastAsia="Times New Roman" w:hAnsi="Barlow" w:cs="Times New Roman"/>
          <w:color w:val="000000"/>
          <w:kern w:val="0"/>
          <w:sz w:val="27"/>
          <w:szCs w:val="27"/>
          <w:lang w:eastAsia="es-ES"/>
          <w14:ligatures w14:val="none"/>
        </w:rPr>
        <w:t xml:space="preserve"> </w:t>
      </w:r>
    </w:p>
    <w:p w14:paraId="43DE4118" w14:textId="77777777" w:rsidR="00A56883" w:rsidRDefault="00A56883" w:rsidP="007942D1">
      <w:pPr>
        <w:jc w:val="both"/>
        <w:rPr>
          <w:rFonts w:ascii="Barlow" w:eastAsia="Times New Roman" w:hAnsi="Barlow" w:cs="Times New Roman"/>
          <w:color w:val="000000"/>
          <w:kern w:val="0"/>
          <w:sz w:val="27"/>
          <w:szCs w:val="27"/>
          <w:lang w:eastAsia="es-ES"/>
          <w14:ligatures w14:val="none"/>
        </w:rPr>
      </w:pPr>
    </w:p>
    <w:p w14:paraId="570FF91F" w14:textId="754023D7" w:rsidR="00A56883" w:rsidRPr="00A56883" w:rsidRDefault="00A56883" w:rsidP="007942D1">
      <w:pPr>
        <w:shd w:val="clear" w:color="auto" w:fill="FFFFFF"/>
        <w:spacing w:after="225" w:line="324" w:lineRule="atLeast"/>
        <w:jc w:val="both"/>
        <w:rPr>
          <w:rFonts w:ascii="Barlow" w:eastAsia="Times New Roman" w:hAnsi="Barlow" w:cs="Times New Roman"/>
          <w:b/>
          <w:bCs/>
          <w:color w:val="004E9A"/>
          <w:kern w:val="0"/>
          <w:sz w:val="27"/>
          <w:szCs w:val="27"/>
          <w:lang w:eastAsia="es-ES"/>
          <w14:ligatures w14:val="none"/>
        </w:rPr>
      </w:pPr>
      <w:r>
        <w:rPr>
          <w:rFonts w:ascii="Barlow" w:eastAsia="Times New Roman" w:hAnsi="Barlow" w:cs="Times New Roman"/>
          <w:b/>
          <w:bCs/>
          <w:color w:val="004E9A"/>
          <w:kern w:val="0"/>
          <w:sz w:val="27"/>
          <w:szCs w:val="27"/>
          <w:lang w:eastAsia="es-ES"/>
          <w14:ligatures w14:val="none"/>
        </w:rPr>
        <w:t>3</w:t>
      </w:r>
      <w:r w:rsidRPr="00A56883">
        <w:rPr>
          <w:rFonts w:ascii="Barlow" w:eastAsia="Times New Roman" w:hAnsi="Barlow" w:cs="Times New Roman"/>
          <w:b/>
          <w:bCs/>
          <w:color w:val="004E9A"/>
          <w:kern w:val="0"/>
          <w:sz w:val="27"/>
          <w:szCs w:val="27"/>
          <w:lang w:eastAsia="es-ES"/>
          <w14:ligatures w14:val="none"/>
        </w:rPr>
        <w:t>.- Beneficios fiscales (Artículo 12)</w:t>
      </w:r>
    </w:p>
    <w:p w14:paraId="73635AC0" w14:textId="5FB036FD" w:rsidR="007942D1" w:rsidRDefault="007942D1" w:rsidP="007942D1">
      <w:pPr>
        <w:jc w:val="both"/>
        <w:rPr>
          <w:rFonts w:ascii="Barlow" w:eastAsia="Times New Roman" w:hAnsi="Barlow" w:cs="Times New Roman"/>
          <w:color w:val="000000"/>
          <w:kern w:val="0"/>
          <w:sz w:val="27"/>
          <w:szCs w:val="27"/>
          <w:lang w:eastAsia="es-ES"/>
          <w14:ligatures w14:val="none"/>
        </w:rPr>
      </w:pPr>
      <w:r w:rsidRPr="007942D1">
        <w:rPr>
          <w:rFonts w:ascii="Barlow" w:eastAsia="Times New Roman" w:hAnsi="Barlow" w:cs="Times New Roman"/>
          <w:color w:val="000000"/>
          <w:kern w:val="0"/>
          <w:sz w:val="27"/>
          <w:szCs w:val="27"/>
          <w:lang w:eastAsia="es-ES"/>
          <w14:ligatures w14:val="none"/>
        </w:rPr>
        <w:sym w:font="Wingdings" w:char="F0E0"/>
      </w:r>
      <w:r>
        <w:rPr>
          <w:rFonts w:ascii="Barlow" w:eastAsia="Times New Roman" w:hAnsi="Barlow" w:cs="Times New Roman"/>
          <w:color w:val="000000"/>
          <w:kern w:val="0"/>
          <w:sz w:val="27"/>
          <w:szCs w:val="27"/>
          <w:lang w:eastAsia="es-ES"/>
          <w14:ligatures w14:val="none"/>
        </w:rPr>
        <w:t xml:space="preserve"> </w:t>
      </w:r>
      <w:r w:rsidR="00A56883" w:rsidRPr="007942D1">
        <w:rPr>
          <w:rFonts w:ascii="Barlow" w:eastAsia="Times New Roman" w:hAnsi="Barlow" w:cs="Times New Roman"/>
          <w:b/>
          <w:bCs/>
          <w:color w:val="000000"/>
          <w:kern w:val="0"/>
          <w:sz w:val="27"/>
          <w:szCs w:val="27"/>
          <w:lang w:eastAsia="es-ES"/>
          <w14:ligatures w14:val="none"/>
        </w:rPr>
        <w:t>Exención de las cuotas del Impuesto sobre bienes inmuebles (IBI) correspondientes al ejercicio 2024,</w:t>
      </w:r>
      <w:r w:rsidR="00A56883">
        <w:rPr>
          <w:rFonts w:ascii="Barlow" w:eastAsia="Times New Roman" w:hAnsi="Barlow" w:cs="Times New Roman"/>
          <w:color w:val="000000"/>
          <w:kern w:val="0"/>
          <w:sz w:val="27"/>
          <w:szCs w:val="27"/>
          <w:lang w:eastAsia="es-ES"/>
          <w14:ligatures w14:val="none"/>
        </w:rPr>
        <w:t xml:space="preserve"> </w:t>
      </w:r>
      <w:r>
        <w:rPr>
          <w:rFonts w:ascii="Barlow" w:eastAsia="Times New Roman" w:hAnsi="Barlow" w:cs="Times New Roman"/>
          <w:color w:val="000000"/>
          <w:kern w:val="0"/>
          <w:sz w:val="27"/>
          <w:szCs w:val="27"/>
          <w:lang w:eastAsia="es-ES"/>
          <w14:ligatures w14:val="none"/>
        </w:rPr>
        <w:t>de los</w:t>
      </w:r>
      <w:r w:rsidR="00A56883">
        <w:rPr>
          <w:rFonts w:ascii="Barlow" w:eastAsia="Times New Roman" w:hAnsi="Barlow" w:cs="Times New Roman"/>
          <w:color w:val="000000"/>
          <w:kern w:val="0"/>
          <w:sz w:val="27"/>
          <w:szCs w:val="27"/>
          <w:lang w:eastAsia="es-ES"/>
          <w14:ligatures w14:val="none"/>
        </w:rPr>
        <w:t xml:space="preserve"> bienes inmuebles situados en los municipios citados en el Anexo</w:t>
      </w:r>
      <w:r>
        <w:rPr>
          <w:rFonts w:ascii="Barlow" w:eastAsia="Times New Roman" w:hAnsi="Barlow" w:cs="Times New Roman"/>
          <w:color w:val="000000"/>
          <w:kern w:val="0"/>
          <w:sz w:val="27"/>
          <w:szCs w:val="27"/>
          <w:lang w:eastAsia="es-ES"/>
          <w14:ligatures w14:val="none"/>
        </w:rPr>
        <w:t xml:space="preserve"> de este RD-Ley que hayan resultado dañados como consecuencia directa de la DANA y siempre que se acredite alguna de estas circunstancias:</w:t>
      </w:r>
    </w:p>
    <w:p w14:paraId="21053915" w14:textId="47ADF829" w:rsidR="00A56883" w:rsidRDefault="007942D1" w:rsidP="007942D1">
      <w:pPr>
        <w:ind w:firstLine="708"/>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Las personas y los bienes en ellos ubicados han tenido que ser objeto de realojamiento total o parcial en otros locales diferentes hasta la reparación de los daños sufridos.</w:t>
      </w:r>
    </w:p>
    <w:p w14:paraId="3485DEEB" w14:textId="1C0C1E4D" w:rsidR="00A56883" w:rsidRDefault="00A56883"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ab/>
        <w:t xml:space="preserve">* </w:t>
      </w:r>
      <w:r w:rsidR="007942D1">
        <w:rPr>
          <w:rFonts w:ascii="Barlow" w:eastAsia="Times New Roman" w:hAnsi="Barlow" w:cs="Times New Roman"/>
          <w:color w:val="000000"/>
          <w:kern w:val="0"/>
          <w:sz w:val="27"/>
          <w:szCs w:val="27"/>
          <w:lang w:eastAsia="es-ES"/>
          <w14:ligatures w14:val="none"/>
        </w:rPr>
        <w:t>pérdidas en las producciones agrícolas y ganaderas que constituyan siniestros cuya cobertura no resulte posible mediante formula alguna de aseguramiento público o privado.</w:t>
      </w:r>
    </w:p>
    <w:p w14:paraId="202EC49A" w14:textId="77777777" w:rsidR="007942D1" w:rsidRDefault="007942D1" w:rsidP="007942D1">
      <w:pPr>
        <w:jc w:val="both"/>
        <w:rPr>
          <w:rFonts w:ascii="Barlow" w:eastAsia="Times New Roman" w:hAnsi="Barlow" w:cs="Times New Roman"/>
          <w:color w:val="000000"/>
          <w:kern w:val="0"/>
          <w:sz w:val="27"/>
          <w:szCs w:val="27"/>
          <w:lang w:eastAsia="es-ES"/>
          <w14:ligatures w14:val="none"/>
        </w:rPr>
      </w:pPr>
    </w:p>
    <w:p w14:paraId="3238FDEC" w14:textId="65F41AAB" w:rsidR="007942D1" w:rsidRDefault="007942D1" w:rsidP="004A7D27">
      <w:pPr>
        <w:jc w:val="both"/>
        <w:rPr>
          <w:rFonts w:ascii="Barlow" w:eastAsia="Times New Roman" w:hAnsi="Barlow" w:cs="Times New Roman"/>
          <w:color w:val="000000"/>
          <w:kern w:val="0"/>
          <w:sz w:val="27"/>
          <w:szCs w:val="27"/>
          <w:lang w:eastAsia="es-ES"/>
          <w14:ligatures w14:val="none"/>
        </w:rPr>
      </w:pPr>
      <w:r w:rsidRPr="007942D1">
        <w:rPr>
          <w:rFonts w:ascii="Barlow" w:eastAsia="Times New Roman" w:hAnsi="Barlow" w:cs="Times New Roman"/>
          <w:b/>
          <w:bCs/>
          <w:color w:val="000000"/>
          <w:kern w:val="0"/>
          <w:sz w:val="27"/>
          <w:szCs w:val="27"/>
          <w:lang w:eastAsia="es-ES"/>
          <w14:ligatures w14:val="none"/>
        </w:rPr>
        <w:sym w:font="Wingdings" w:char="F0E0"/>
      </w:r>
      <w:r>
        <w:rPr>
          <w:rFonts w:ascii="Barlow" w:eastAsia="Times New Roman" w:hAnsi="Barlow" w:cs="Times New Roman"/>
          <w:b/>
          <w:bCs/>
          <w:color w:val="000000"/>
          <w:kern w:val="0"/>
          <w:sz w:val="27"/>
          <w:szCs w:val="27"/>
          <w:lang w:eastAsia="es-ES"/>
          <w14:ligatures w14:val="none"/>
        </w:rPr>
        <w:t xml:space="preserve"> Reducción</w:t>
      </w:r>
      <w:r w:rsidRPr="007942D1">
        <w:rPr>
          <w:rFonts w:ascii="Barlow" w:eastAsia="Times New Roman" w:hAnsi="Barlow" w:cs="Times New Roman"/>
          <w:b/>
          <w:bCs/>
          <w:color w:val="000000"/>
          <w:kern w:val="0"/>
          <w:sz w:val="27"/>
          <w:szCs w:val="27"/>
          <w:lang w:eastAsia="es-ES"/>
          <w14:ligatures w14:val="none"/>
        </w:rPr>
        <w:t xml:space="preserve"> </w:t>
      </w:r>
      <w:r>
        <w:rPr>
          <w:rFonts w:ascii="Barlow" w:eastAsia="Times New Roman" w:hAnsi="Barlow" w:cs="Times New Roman"/>
          <w:b/>
          <w:bCs/>
          <w:color w:val="000000"/>
          <w:kern w:val="0"/>
          <w:sz w:val="27"/>
          <w:szCs w:val="27"/>
          <w:lang w:eastAsia="es-ES"/>
          <w14:ligatures w14:val="none"/>
        </w:rPr>
        <w:t>en el</w:t>
      </w:r>
      <w:r w:rsidRPr="007942D1">
        <w:rPr>
          <w:rFonts w:ascii="Barlow" w:eastAsia="Times New Roman" w:hAnsi="Barlow" w:cs="Times New Roman"/>
          <w:b/>
          <w:bCs/>
          <w:color w:val="000000"/>
          <w:kern w:val="0"/>
          <w:sz w:val="27"/>
          <w:szCs w:val="27"/>
          <w:lang w:eastAsia="es-ES"/>
          <w14:ligatures w14:val="none"/>
        </w:rPr>
        <w:t xml:space="preserve"> Impuesto sobre </w:t>
      </w:r>
      <w:r w:rsidR="004A7D27">
        <w:rPr>
          <w:rFonts w:ascii="Barlow" w:eastAsia="Times New Roman" w:hAnsi="Barlow" w:cs="Times New Roman"/>
          <w:b/>
          <w:bCs/>
          <w:color w:val="000000"/>
          <w:kern w:val="0"/>
          <w:sz w:val="27"/>
          <w:szCs w:val="27"/>
          <w:lang w:eastAsia="es-ES"/>
          <w14:ligatures w14:val="none"/>
        </w:rPr>
        <w:t xml:space="preserve">Actividades económicas </w:t>
      </w:r>
      <w:r w:rsidRPr="007942D1">
        <w:rPr>
          <w:rFonts w:ascii="Barlow" w:eastAsia="Times New Roman" w:hAnsi="Barlow" w:cs="Times New Roman"/>
          <w:b/>
          <w:bCs/>
          <w:color w:val="000000"/>
          <w:kern w:val="0"/>
          <w:sz w:val="27"/>
          <w:szCs w:val="27"/>
          <w:lang w:eastAsia="es-ES"/>
          <w14:ligatures w14:val="none"/>
        </w:rPr>
        <w:t>(I</w:t>
      </w:r>
      <w:r w:rsidR="004A7D27">
        <w:rPr>
          <w:rFonts w:ascii="Barlow" w:eastAsia="Times New Roman" w:hAnsi="Barlow" w:cs="Times New Roman"/>
          <w:b/>
          <w:bCs/>
          <w:color w:val="000000"/>
          <w:kern w:val="0"/>
          <w:sz w:val="27"/>
          <w:szCs w:val="27"/>
          <w:lang w:eastAsia="es-ES"/>
          <w14:ligatures w14:val="none"/>
        </w:rPr>
        <w:t>AE</w:t>
      </w:r>
      <w:r w:rsidRPr="007942D1">
        <w:rPr>
          <w:rFonts w:ascii="Barlow" w:eastAsia="Times New Roman" w:hAnsi="Barlow" w:cs="Times New Roman"/>
          <w:b/>
          <w:bCs/>
          <w:color w:val="000000"/>
          <w:kern w:val="0"/>
          <w:sz w:val="27"/>
          <w:szCs w:val="27"/>
          <w:lang w:eastAsia="es-ES"/>
          <w14:ligatures w14:val="none"/>
        </w:rPr>
        <w:t>) correspondiente al ejercicio 2024,</w:t>
      </w:r>
      <w:r>
        <w:rPr>
          <w:rFonts w:ascii="Barlow" w:eastAsia="Times New Roman" w:hAnsi="Barlow" w:cs="Times New Roman"/>
          <w:color w:val="000000"/>
          <w:kern w:val="0"/>
          <w:sz w:val="27"/>
          <w:szCs w:val="27"/>
          <w:lang w:eastAsia="es-ES"/>
          <w14:ligatures w14:val="none"/>
        </w:rPr>
        <w:t xml:space="preserve"> </w:t>
      </w:r>
      <w:r w:rsidR="004A7D27">
        <w:rPr>
          <w:rFonts w:ascii="Barlow" w:eastAsia="Times New Roman" w:hAnsi="Barlow" w:cs="Times New Roman"/>
          <w:color w:val="000000"/>
          <w:kern w:val="0"/>
          <w:sz w:val="27"/>
          <w:szCs w:val="27"/>
          <w:lang w:eastAsia="es-ES"/>
          <w14:ligatures w14:val="none"/>
        </w:rPr>
        <w:t xml:space="preserve">de aquellas empresas cuyos locales de negocio o bienes afectos a la actividad estén situados </w:t>
      </w:r>
      <w:r>
        <w:rPr>
          <w:rFonts w:ascii="Barlow" w:eastAsia="Times New Roman" w:hAnsi="Barlow" w:cs="Times New Roman"/>
          <w:color w:val="000000"/>
          <w:kern w:val="0"/>
          <w:sz w:val="27"/>
          <w:szCs w:val="27"/>
          <w:lang w:eastAsia="es-ES"/>
          <w14:ligatures w14:val="none"/>
        </w:rPr>
        <w:t>en los municipios citados en el Anexo de este RD-Ley</w:t>
      </w:r>
      <w:r w:rsidR="004A7D27">
        <w:rPr>
          <w:rFonts w:ascii="Barlow" w:eastAsia="Times New Roman" w:hAnsi="Barlow" w:cs="Times New Roman"/>
          <w:color w:val="000000"/>
          <w:kern w:val="0"/>
          <w:sz w:val="27"/>
          <w:szCs w:val="27"/>
          <w:lang w:eastAsia="es-ES"/>
          <w14:ligatures w14:val="none"/>
        </w:rPr>
        <w:t xml:space="preserve">, </w:t>
      </w:r>
      <w:r>
        <w:rPr>
          <w:rFonts w:ascii="Barlow" w:eastAsia="Times New Roman" w:hAnsi="Barlow" w:cs="Times New Roman"/>
          <w:color w:val="000000"/>
          <w:kern w:val="0"/>
          <w:sz w:val="27"/>
          <w:szCs w:val="27"/>
          <w:lang w:eastAsia="es-ES"/>
          <w14:ligatures w14:val="none"/>
        </w:rPr>
        <w:t xml:space="preserve">hayan resultado dañados como consecuencia directa de la DANA y siempre que </w:t>
      </w:r>
      <w:r w:rsidR="004A7D27">
        <w:rPr>
          <w:rFonts w:ascii="Barlow" w:eastAsia="Times New Roman" w:hAnsi="Barlow" w:cs="Times New Roman"/>
          <w:color w:val="000000"/>
          <w:kern w:val="0"/>
          <w:sz w:val="27"/>
          <w:szCs w:val="27"/>
          <w:lang w:eastAsia="es-ES"/>
          <w14:ligatures w14:val="none"/>
        </w:rPr>
        <w:t>hubieran tenido q</w:t>
      </w:r>
      <w:r>
        <w:rPr>
          <w:rFonts w:ascii="Barlow" w:eastAsia="Times New Roman" w:hAnsi="Barlow" w:cs="Times New Roman"/>
          <w:color w:val="000000"/>
          <w:kern w:val="0"/>
          <w:sz w:val="27"/>
          <w:szCs w:val="27"/>
          <w:lang w:eastAsia="es-ES"/>
          <w14:ligatures w14:val="none"/>
        </w:rPr>
        <w:t xml:space="preserve">ue ser objeto de realojamiento </w:t>
      </w:r>
      <w:r w:rsidR="004A7D27">
        <w:rPr>
          <w:rFonts w:ascii="Barlow" w:eastAsia="Times New Roman" w:hAnsi="Barlow" w:cs="Times New Roman"/>
          <w:color w:val="000000"/>
          <w:kern w:val="0"/>
          <w:sz w:val="27"/>
          <w:szCs w:val="27"/>
          <w:lang w:eastAsia="es-ES"/>
          <w14:ligatures w14:val="none"/>
        </w:rPr>
        <w:t xml:space="preserve">o se hayan producido daños que obliguen al cierre temporal de la actividad. </w:t>
      </w:r>
    </w:p>
    <w:p w14:paraId="5D5A1038" w14:textId="61D7C1A9" w:rsidR="004A7D27" w:rsidRDefault="004A7D27" w:rsidP="004A7D27">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La reducción de este impuesto será proporcional al tiempo transcurrido desde el día en que se produzca el cese de la actividad hasta su reinicio en condiciones de normalidad, ya sea en los </w:t>
      </w:r>
      <w:r w:rsidR="004653BB">
        <w:rPr>
          <w:rFonts w:ascii="Barlow" w:eastAsia="Times New Roman" w:hAnsi="Barlow" w:cs="Times New Roman"/>
          <w:color w:val="000000"/>
          <w:kern w:val="0"/>
          <w:sz w:val="27"/>
          <w:szCs w:val="27"/>
          <w:lang w:eastAsia="es-ES"/>
          <w14:ligatures w14:val="none"/>
        </w:rPr>
        <w:t>mismos locales</w:t>
      </w:r>
      <w:r>
        <w:rPr>
          <w:rFonts w:ascii="Barlow" w:eastAsia="Times New Roman" w:hAnsi="Barlow" w:cs="Times New Roman"/>
          <w:color w:val="000000"/>
          <w:kern w:val="0"/>
          <w:sz w:val="27"/>
          <w:szCs w:val="27"/>
          <w:lang w:eastAsia="es-ES"/>
          <w14:ligatures w14:val="none"/>
        </w:rPr>
        <w:t xml:space="preserve"> u otros.</w:t>
      </w:r>
    </w:p>
    <w:p w14:paraId="412ED5B2" w14:textId="77777777" w:rsidR="004653BB" w:rsidRDefault="004653BB" w:rsidP="004A7D27">
      <w:pPr>
        <w:jc w:val="both"/>
        <w:rPr>
          <w:rFonts w:ascii="Barlow" w:eastAsia="Times New Roman" w:hAnsi="Barlow" w:cs="Times New Roman"/>
          <w:color w:val="000000"/>
          <w:kern w:val="0"/>
          <w:sz w:val="27"/>
          <w:szCs w:val="27"/>
          <w:lang w:eastAsia="es-ES"/>
          <w14:ligatures w14:val="none"/>
        </w:rPr>
      </w:pPr>
    </w:p>
    <w:p w14:paraId="1AA10610" w14:textId="77777777" w:rsidR="004653BB" w:rsidRDefault="004653BB" w:rsidP="007942D1">
      <w:pPr>
        <w:jc w:val="both"/>
        <w:rPr>
          <w:rFonts w:ascii="Barlow" w:eastAsia="Times New Roman" w:hAnsi="Barlow" w:cs="Times New Roman"/>
          <w:b/>
          <w:bCs/>
          <w:color w:val="000000"/>
          <w:kern w:val="0"/>
          <w:sz w:val="27"/>
          <w:szCs w:val="27"/>
          <w:lang w:eastAsia="es-ES"/>
          <w14:ligatures w14:val="none"/>
        </w:rPr>
      </w:pPr>
      <w:r w:rsidRPr="007942D1">
        <w:rPr>
          <w:rFonts w:ascii="Barlow" w:eastAsia="Times New Roman" w:hAnsi="Barlow" w:cs="Times New Roman"/>
          <w:b/>
          <w:bCs/>
          <w:color w:val="000000"/>
          <w:kern w:val="0"/>
          <w:sz w:val="27"/>
          <w:szCs w:val="27"/>
          <w:lang w:eastAsia="es-ES"/>
          <w14:ligatures w14:val="none"/>
        </w:rPr>
        <w:lastRenderedPageBreak/>
        <w:sym w:font="Wingdings" w:char="F0E0"/>
      </w:r>
      <w:r>
        <w:rPr>
          <w:rFonts w:ascii="Barlow" w:eastAsia="Times New Roman" w:hAnsi="Barlow" w:cs="Times New Roman"/>
          <w:b/>
          <w:bCs/>
          <w:color w:val="000000"/>
          <w:kern w:val="0"/>
          <w:sz w:val="27"/>
          <w:szCs w:val="27"/>
          <w:lang w:eastAsia="es-ES"/>
          <w14:ligatures w14:val="none"/>
        </w:rPr>
        <w:t xml:space="preserve"> Exención de las tasas de tráfico por la tramitación de las bajas de vehículos </w:t>
      </w:r>
      <w:r w:rsidRPr="004653BB">
        <w:rPr>
          <w:rFonts w:ascii="Barlow" w:eastAsia="Times New Roman" w:hAnsi="Barlow" w:cs="Times New Roman"/>
          <w:color w:val="000000"/>
          <w:kern w:val="0"/>
          <w:sz w:val="27"/>
          <w:szCs w:val="27"/>
          <w:lang w:eastAsia="es-ES"/>
          <w14:ligatures w14:val="none"/>
        </w:rPr>
        <w:t>solicitadas como consecuencia de los daños producidos por la Dana</w:t>
      </w:r>
      <w:r>
        <w:rPr>
          <w:rFonts w:ascii="Barlow" w:eastAsia="Times New Roman" w:hAnsi="Barlow" w:cs="Times New Roman"/>
          <w:b/>
          <w:bCs/>
          <w:color w:val="000000"/>
          <w:kern w:val="0"/>
          <w:sz w:val="27"/>
          <w:szCs w:val="27"/>
          <w:lang w:eastAsia="es-ES"/>
          <w14:ligatures w14:val="none"/>
        </w:rPr>
        <w:t xml:space="preserve"> y por la expedición de duplicados de permisos de circulación o conducción destruidos o extraviados </w:t>
      </w:r>
      <w:r w:rsidRPr="004653BB">
        <w:rPr>
          <w:rFonts w:ascii="Barlow" w:eastAsia="Times New Roman" w:hAnsi="Barlow" w:cs="Times New Roman"/>
          <w:color w:val="000000"/>
          <w:kern w:val="0"/>
          <w:sz w:val="27"/>
          <w:szCs w:val="27"/>
          <w:lang w:eastAsia="es-ES"/>
          <w14:ligatures w14:val="none"/>
        </w:rPr>
        <w:t>por dichas causas, siempre que la persona titular del vehículo acredite disponer de seguro obligatorio de responsabilidad civil del automóvil en el momento en que se produzco el daño.</w:t>
      </w:r>
      <w:r>
        <w:rPr>
          <w:rFonts w:ascii="Barlow" w:eastAsia="Times New Roman" w:hAnsi="Barlow" w:cs="Times New Roman"/>
          <w:b/>
          <w:bCs/>
          <w:color w:val="000000"/>
          <w:kern w:val="0"/>
          <w:sz w:val="27"/>
          <w:szCs w:val="27"/>
          <w:lang w:eastAsia="es-ES"/>
          <w14:ligatures w14:val="none"/>
        </w:rPr>
        <w:t xml:space="preserve"> </w:t>
      </w:r>
    </w:p>
    <w:p w14:paraId="4E34AE5B" w14:textId="1E8A9BF7" w:rsidR="007942D1" w:rsidRPr="008C3121" w:rsidRDefault="004653BB" w:rsidP="007942D1">
      <w:pPr>
        <w:jc w:val="both"/>
        <w:rPr>
          <w:rFonts w:ascii="Barlow" w:eastAsia="Times New Roman" w:hAnsi="Barlow" w:cs="Times New Roman"/>
          <w:color w:val="000000"/>
          <w:kern w:val="0"/>
          <w:sz w:val="27"/>
          <w:szCs w:val="27"/>
          <w:lang w:eastAsia="es-ES"/>
          <w14:ligatures w14:val="none"/>
        </w:rPr>
      </w:pPr>
      <w:r w:rsidRPr="007942D1">
        <w:rPr>
          <w:rFonts w:ascii="Barlow" w:eastAsia="Times New Roman" w:hAnsi="Barlow" w:cs="Times New Roman"/>
          <w:b/>
          <w:bCs/>
          <w:color w:val="000000"/>
          <w:kern w:val="0"/>
          <w:sz w:val="27"/>
          <w:szCs w:val="27"/>
          <w:lang w:eastAsia="es-ES"/>
          <w14:ligatures w14:val="none"/>
        </w:rPr>
        <w:sym w:font="Wingdings" w:char="F0E0"/>
      </w:r>
      <w:r>
        <w:rPr>
          <w:rFonts w:ascii="Barlow" w:eastAsia="Times New Roman" w:hAnsi="Barlow" w:cs="Times New Roman"/>
          <w:b/>
          <w:bCs/>
          <w:color w:val="000000"/>
          <w:kern w:val="0"/>
          <w:sz w:val="27"/>
          <w:szCs w:val="27"/>
          <w:lang w:eastAsia="es-ES"/>
          <w14:ligatures w14:val="none"/>
        </w:rPr>
        <w:t xml:space="preserve"> Exención</w:t>
      </w:r>
      <w:r w:rsidR="008C3121">
        <w:rPr>
          <w:rFonts w:ascii="Barlow" w:eastAsia="Times New Roman" w:hAnsi="Barlow" w:cs="Times New Roman"/>
          <w:b/>
          <w:bCs/>
          <w:color w:val="000000"/>
          <w:kern w:val="0"/>
          <w:sz w:val="27"/>
          <w:szCs w:val="27"/>
          <w:lang w:eastAsia="es-ES"/>
          <w14:ligatures w14:val="none"/>
        </w:rPr>
        <w:t xml:space="preserve"> en el Impuesto sobre Transmisiones Patrimoniales y Actos Jurídicos Documentados, </w:t>
      </w:r>
      <w:r w:rsidR="008C3121" w:rsidRPr="008C3121">
        <w:rPr>
          <w:rFonts w:ascii="Barlow" w:eastAsia="Times New Roman" w:hAnsi="Barlow" w:cs="Times New Roman"/>
          <w:color w:val="000000"/>
          <w:kern w:val="0"/>
          <w:sz w:val="27"/>
          <w:szCs w:val="27"/>
          <w:lang w:eastAsia="es-ES"/>
          <w14:ligatures w14:val="none"/>
        </w:rPr>
        <w:t>por las escrituras de formalización de moratorias de préstamos y créditos hipotecarios o sin garantía hipotecaria que se produzcan en aplicación a la suspensión de las obligaciones de pago de intereses y principal conforme a los artículos 31 a 40 del RD-Ley 6/2004 (Disposición Final 2ª)</w:t>
      </w:r>
      <w:r w:rsidRPr="008C3121">
        <w:rPr>
          <w:rFonts w:ascii="Barlow" w:eastAsia="Times New Roman" w:hAnsi="Barlow" w:cs="Times New Roman"/>
          <w:color w:val="000000"/>
          <w:kern w:val="0"/>
          <w:sz w:val="27"/>
          <w:szCs w:val="27"/>
          <w:lang w:eastAsia="es-ES"/>
          <w14:ligatures w14:val="none"/>
        </w:rPr>
        <w:t xml:space="preserve"> </w:t>
      </w:r>
    </w:p>
    <w:p w14:paraId="5B2D5552" w14:textId="752F2452" w:rsidR="00A56883" w:rsidRDefault="00A56883"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ab/>
      </w:r>
    </w:p>
    <w:sectPr w:rsidR="00A56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Barlow">
    <w:panose1 w:val="000005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7045E"/>
    <w:multiLevelType w:val="hybridMultilevel"/>
    <w:tmpl w:val="BDF84AB2"/>
    <w:lvl w:ilvl="0" w:tplc="7BD41728">
      <w:start w:val="3"/>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561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DF"/>
    <w:rsid w:val="000004E2"/>
    <w:rsid w:val="00041797"/>
    <w:rsid w:val="000D3297"/>
    <w:rsid w:val="0011330D"/>
    <w:rsid w:val="00125CB1"/>
    <w:rsid w:val="00126462"/>
    <w:rsid w:val="001A36E6"/>
    <w:rsid w:val="001B6588"/>
    <w:rsid w:val="00254144"/>
    <w:rsid w:val="00270A3B"/>
    <w:rsid w:val="002744C0"/>
    <w:rsid w:val="002C72CE"/>
    <w:rsid w:val="002E0587"/>
    <w:rsid w:val="003314C5"/>
    <w:rsid w:val="003900DF"/>
    <w:rsid w:val="003E10A5"/>
    <w:rsid w:val="004653BB"/>
    <w:rsid w:val="004A1ACA"/>
    <w:rsid w:val="004A7D27"/>
    <w:rsid w:val="006F5733"/>
    <w:rsid w:val="00764045"/>
    <w:rsid w:val="007942D1"/>
    <w:rsid w:val="008A5390"/>
    <w:rsid w:val="008B12A2"/>
    <w:rsid w:val="008C3121"/>
    <w:rsid w:val="009F6E19"/>
    <w:rsid w:val="00A3729E"/>
    <w:rsid w:val="00A56883"/>
    <w:rsid w:val="00A60DC8"/>
    <w:rsid w:val="00DF4161"/>
    <w:rsid w:val="00E7002C"/>
    <w:rsid w:val="00E97D0D"/>
    <w:rsid w:val="00EC47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B125"/>
  <w15:chartTrackingRefBased/>
  <w15:docId w15:val="{89A78FB0-FDAE-4FDE-AAC8-B4BE208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0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0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00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00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00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00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00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00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00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00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00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00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00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00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00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00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00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00DF"/>
    <w:rPr>
      <w:rFonts w:eastAsiaTheme="majorEastAsia" w:cstheme="majorBidi"/>
      <w:color w:val="272727" w:themeColor="text1" w:themeTint="D8"/>
    </w:rPr>
  </w:style>
  <w:style w:type="paragraph" w:styleId="Ttulo">
    <w:name w:val="Title"/>
    <w:basedOn w:val="Normal"/>
    <w:next w:val="Normal"/>
    <w:link w:val="TtuloCar"/>
    <w:uiPriority w:val="10"/>
    <w:qFormat/>
    <w:rsid w:val="00390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00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00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00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00DF"/>
    <w:pPr>
      <w:spacing w:before="160"/>
      <w:jc w:val="center"/>
    </w:pPr>
    <w:rPr>
      <w:i/>
      <w:iCs/>
      <w:color w:val="404040" w:themeColor="text1" w:themeTint="BF"/>
    </w:rPr>
  </w:style>
  <w:style w:type="character" w:customStyle="1" w:styleId="CitaCar">
    <w:name w:val="Cita Car"/>
    <w:basedOn w:val="Fuentedeprrafopredeter"/>
    <w:link w:val="Cita"/>
    <w:uiPriority w:val="29"/>
    <w:rsid w:val="003900DF"/>
    <w:rPr>
      <w:i/>
      <w:iCs/>
      <w:color w:val="404040" w:themeColor="text1" w:themeTint="BF"/>
    </w:rPr>
  </w:style>
  <w:style w:type="paragraph" w:styleId="Prrafodelista">
    <w:name w:val="List Paragraph"/>
    <w:basedOn w:val="Normal"/>
    <w:uiPriority w:val="34"/>
    <w:qFormat/>
    <w:rsid w:val="003900DF"/>
    <w:pPr>
      <w:ind w:left="720"/>
      <w:contextualSpacing/>
    </w:pPr>
  </w:style>
  <w:style w:type="character" w:styleId="nfasisintenso">
    <w:name w:val="Intense Emphasis"/>
    <w:basedOn w:val="Fuentedeprrafopredeter"/>
    <w:uiPriority w:val="21"/>
    <w:qFormat/>
    <w:rsid w:val="003900DF"/>
    <w:rPr>
      <w:i/>
      <w:iCs/>
      <w:color w:val="0F4761" w:themeColor="accent1" w:themeShade="BF"/>
    </w:rPr>
  </w:style>
  <w:style w:type="paragraph" w:styleId="Citadestacada">
    <w:name w:val="Intense Quote"/>
    <w:basedOn w:val="Normal"/>
    <w:next w:val="Normal"/>
    <w:link w:val="CitadestacadaCar"/>
    <w:uiPriority w:val="30"/>
    <w:qFormat/>
    <w:rsid w:val="00390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00DF"/>
    <w:rPr>
      <w:i/>
      <w:iCs/>
      <w:color w:val="0F4761" w:themeColor="accent1" w:themeShade="BF"/>
    </w:rPr>
  </w:style>
  <w:style w:type="character" w:styleId="Referenciaintensa">
    <w:name w:val="Intense Reference"/>
    <w:basedOn w:val="Fuentedeprrafopredeter"/>
    <w:uiPriority w:val="32"/>
    <w:qFormat/>
    <w:rsid w:val="003900DF"/>
    <w:rPr>
      <w:b/>
      <w:bCs/>
      <w:smallCaps/>
      <w:color w:val="0F4761" w:themeColor="accent1" w:themeShade="BF"/>
      <w:spacing w:val="5"/>
    </w:rPr>
  </w:style>
  <w:style w:type="table" w:styleId="Tablaconcuadrcula">
    <w:name w:val="Table Grid"/>
    <w:basedOn w:val="Tablanormal"/>
    <w:uiPriority w:val="39"/>
    <w:rsid w:val="0027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Ana Real Sebastián</cp:lastModifiedBy>
  <cp:revision>2</cp:revision>
  <cp:lastPrinted>2024-11-06T15:54:00Z</cp:lastPrinted>
  <dcterms:created xsi:type="dcterms:W3CDTF">2024-11-20T08:41:00Z</dcterms:created>
  <dcterms:modified xsi:type="dcterms:W3CDTF">2024-11-20T08:41:00Z</dcterms:modified>
</cp:coreProperties>
</file>